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C3B2F4">
      <w:pPr>
        <w:autoSpaceDE w:val="0"/>
        <w:autoSpaceDN w:val="0"/>
        <w:adjustRightInd w:val="0"/>
        <w:spacing w:line="360" w:lineRule="auto"/>
        <w:ind w:firstLine="3534" w:firstLineChars="800"/>
        <w:outlineLvl w:val="0"/>
        <w:rPr>
          <w:rFonts w:ascii="宋体" w:hAnsi="宋体" w:eastAsia="宋体" w:cs="宋体"/>
          <w:b/>
          <w:bCs/>
          <w:kern w:val="0"/>
          <w:sz w:val="44"/>
          <w:szCs w:val="44"/>
          <w:lang w:val="zh-CN"/>
        </w:rPr>
      </w:pPr>
      <w:bookmarkStart w:id="3" w:name="_GoBack"/>
      <w:bookmarkEnd w:id="3"/>
      <w:r>
        <w:rPr>
          <w:rFonts w:hint="eastAsia" w:ascii="宋体" w:hAnsi="宋体" w:eastAsia="宋体" w:cs="宋体"/>
          <w:b/>
          <w:bCs/>
          <w:kern w:val="0"/>
          <w:sz w:val="44"/>
          <w:szCs w:val="44"/>
          <w:lang w:val="zh-CN"/>
        </w:rPr>
        <w:t>项目需求</w:t>
      </w:r>
    </w:p>
    <w:p w14:paraId="1269CDC2">
      <w:pPr>
        <w:keepNext/>
        <w:keepLines/>
        <w:spacing w:before="240" w:after="120" w:line="360" w:lineRule="auto"/>
        <w:jc w:val="center"/>
        <w:outlineLvl w:val="1"/>
        <w:rPr>
          <w:rFonts w:ascii="Times New Roman" w:hAnsi="Times New Roman" w:eastAsia="宋体" w:cs="Times New Roman"/>
          <w:b/>
          <w:bCs/>
          <w:sz w:val="32"/>
          <w:szCs w:val="32"/>
        </w:rPr>
      </w:pPr>
      <w:r>
        <w:rPr>
          <w:rFonts w:ascii="Times New Roman" w:hAnsi="Times New Roman" w:eastAsia="宋体" w:cs="Times New Roman"/>
          <w:b/>
          <w:bCs/>
          <w:sz w:val="32"/>
          <w:szCs w:val="32"/>
        </w:rPr>
        <w:t>一、货物需求一览表</w:t>
      </w:r>
    </w:p>
    <w:p w14:paraId="4CE28C94">
      <w:pPr>
        <w:adjustRightInd w:val="0"/>
        <w:snapToGrid w:val="0"/>
        <w:spacing w:line="360" w:lineRule="auto"/>
        <w:jc w:val="center"/>
        <w:rPr>
          <w:rFonts w:ascii="Times New Roman" w:hAnsi="Times New Roman" w:eastAsia="宋体" w:cs="Times New Roman"/>
          <w:b/>
          <w:color w:val="000000"/>
          <w:sz w:val="30"/>
          <w:szCs w:val="30"/>
        </w:rPr>
      </w:pPr>
    </w:p>
    <w:tbl>
      <w:tblPr>
        <w:tblStyle w:val="7"/>
        <w:tblW w:w="92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1848"/>
        <w:gridCol w:w="992"/>
        <w:gridCol w:w="2448"/>
        <w:gridCol w:w="3221"/>
      </w:tblGrid>
      <w:tr w14:paraId="4906E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96" w:hRule="atLeast"/>
          <w:jc w:val="center"/>
        </w:trPr>
        <w:tc>
          <w:tcPr>
            <w:tcW w:w="762" w:type="dxa"/>
            <w:vAlign w:val="center"/>
          </w:tcPr>
          <w:p w14:paraId="066C97D7">
            <w:pPr>
              <w:spacing w:line="360" w:lineRule="auto"/>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包号</w:t>
            </w:r>
          </w:p>
        </w:tc>
        <w:tc>
          <w:tcPr>
            <w:tcW w:w="1848" w:type="dxa"/>
            <w:vAlign w:val="center"/>
          </w:tcPr>
          <w:p w14:paraId="25CA6043">
            <w:pPr>
              <w:spacing w:line="360" w:lineRule="auto"/>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货物名称</w:t>
            </w:r>
          </w:p>
        </w:tc>
        <w:tc>
          <w:tcPr>
            <w:tcW w:w="992" w:type="dxa"/>
            <w:vAlign w:val="center"/>
          </w:tcPr>
          <w:p w14:paraId="4A37AA9C">
            <w:pPr>
              <w:spacing w:line="360" w:lineRule="auto"/>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数量</w:t>
            </w:r>
          </w:p>
        </w:tc>
        <w:tc>
          <w:tcPr>
            <w:tcW w:w="2448" w:type="dxa"/>
            <w:vAlign w:val="center"/>
          </w:tcPr>
          <w:p w14:paraId="720F0338">
            <w:pPr>
              <w:spacing w:line="360" w:lineRule="auto"/>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交货期</w:t>
            </w:r>
          </w:p>
        </w:tc>
        <w:tc>
          <w:tcPr>
            <w:tcW w:w="3221" w:type="dxa"/>
            <w:vAlign w:val="center"/>
          </w:tcPr>
          <w:p w14:paraId="253C7D5E">
            <w:pPr>
              <w:spacing w:line="360" w:lineRule="auto"/>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交货地点</w:t>
            </w:r>
          </w:p>
        </w:tc>
      </w:tr>
      <w:tr w14:paraId="4819E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0" w:hRule="atLeast"/>
          <w:jc w:val="center"/>
        </w:trPr>
        <w:tc>
          <w:tcPr>
            <w:tcW w:w="762" w:type="dxa"/>
            <w:vAlign w:val="center"/>
          </w:tcPr>
          <w:p w14:paraId="3239397C">
            <w:pPr>
              <w:spacing w:line="360" w:lineRule="auto"/>
              <w:jc w:val="center"/>
              <w:rPr>
                <w:rFonts w:ascii="宋体" w:hAnsi="Times New Roman" w:eastAsia="宋体" w:cs="Times New Roman"/>
                <w:sz w:val="24"/>
                <w:szCs w:val="24"/>
              </w:rPr>
            </w:pPr>
            <w:r>
              <w:rPr>
                <w:rFonts w:hint="eastAsia" w:ascii="宋体" w:hAnsi="Times New Roman" w:eastAsia="宋体" w:cs="Times New Roman"/>
                <w:sz w:val="24"/>
                <w:szCs w:val="24"/>
              </w:rPr>
              <w:t>1</w:t>
            </w:r>
          </w:p>
        </w:tc>
        <w:tc>
          <w:tcPr>
            <w:tcW w:w="1848" w:type="dxa"/>
            <w:vAlign w:val="center"/>
          </w:tcPr>
          <w:p w14:paraId="4E30F3B1">
            <w:pPr>
              <w:spacing w:line="360" w:lineRule="auto"/>
              <w:jc w:val="center"/>
              <w:rPr>
                <w:rFonts w:ascii="Bookman Old Style" w:hAnsi="Bookman Old Style" w:eastAsia="宋体" w:cs="Times New Roman"/>
                <w:sz w:val="24"/>
                <w:szCs w:val="24"/>
              </w:rPr>
            </w:pPr>
            <w:r>
              <w:rPr>
                <w:rFonts w:hint="eastAsia" w:ascii="Bookman Old Style" w:hAnsi="Bookman Old Style" w:eastAsia="宋体" w:cs="Times New Roman"/>
                <w:sz w:val="24"/>
                <w:szCs w:val="24"/>
              </w:rPr>
              <w:t>原子层沉积设备</w:t>
            </w:r>
          </w:p>
        </w:tc>
        <w:tc>
          <w:tcPr>
            <w:tcW w:w="992" w:type="dxa"/>
            <w:vAlign w:val="center"/>
          </w:tcPr>
          <w:p w14:paraId="05A327F1">
            <w:pPr>
              <w:spacing w:line="360" w:lineRule="auto"/>
              <w:jc w:val="center"/>
              <w:rPr>
                <w:rFonts w:ascii="Times New Roman" w:hAnsi="Times New Roman" w:eastAsia="宋体"/>
                <w:sz w:val="24"/>
              </w:rPr>
            </w:pPr>
            <w:r>
              <w:rPr>
                <w:rFonts w:ascii="Times New Roman" w:hAnsi="Times New Roman" w:eastAsia="宋体"/>
                <w:sz w:val="24"/>
              </w:rPr>
              <w:t>1</w:t>
            </w:r>
            <w:r>
              <w:rPr>
                <w:rFonts w:hint="eastAsia" w:ascii="Times New Roman" w:hAnsi="Times New Roman" w:eastAsia="宋体"/>
                <w:sz w:val="24"/>
              </w:rPr>
              <w:t>套</w:t>
            </w:r>
          </w:p>
        </w:tc>
        <w:tc>
          <w:tcPr>
            <w:tcW w:w="2448" w:type="dxa"/>
            <w:vAlign w:val="center"/>
          </w:tcPr>
          <w:p w14:paraId="49D5EE04">
            <w:pPr>
              <w:spacing w:line="360" w:lineRule="auto"/>
              <w:jc w:val="center"/>
              <w:rPr>
                <w:rFonts w:ascii="宋体" w:hAnsi="Bookman Old Style" w:eastAsia="宋体" w:cs="Times New Roman"/>
                <w:sz w:val="24"/>
                <w:szCs w:val="24"/>
              </w:rPr>
            </w:pPr>
            <w:r>
              <w:rPr>
                <w:rFonts w:hint="eastAsia" w:ascii="Times New Roman" w:hAnsi="Times New Roman" w:eastAsia="宋体" w:cs="宋体"/>
                <w:kern w:val="0"/>
                <w:sz w:val="24"/>
              </w:rPr>
              <w:t>合同生效后</w:t>
            </w:r>
            <w:r>
              <w:rPr>
                <w:rFonts w:ascii="Times New Roman" w:hAnsi="Times New Roman" w:eastAsia="宋体" w:cs="宋体"/>
                <w:kern w:val="0"/>
                <w:sz w:val="24"/>
              </w:rPr>
              <w:t>5</w:t>
            </w:r>
            <w:r>
              <w:rPr>
                <w:rFonts w:hint="eastAsia" w:ascii="Times New Roman" w:hAnsi="Times New Roman" w:eastAsia="宋体" w:cs="宋体"/>
                <w:kern w:val="0"/>
                <w:sz w:val="24"/>
              </w:rPr>
              <w:t>个月内</w:t>
            </w:r>
          </w:p>
        </w:tc>
        <w:tc>
          <w:tcPr>
            <w:tcW w:w="3221" w:type="dxa"/>
            <w:vAlign w:val="center"/>
          </w:tcPr>
          <w:p w14:paraId="5CE92E31">
            <w:pPr>
              <w:spacing w:line="360" w:lineRule="auto"/>
              <w:jc w:val="center"/>
              <w:rPr>
                <w:rFonts w:ascii="宋体" w:hAnsi="Bookman Old Style" w:eastAsia="宋体" w:cs="Times New Roman"/>
                <w:sz w:val="24"/>
                <w:szCs w:val="24"/>
              </w:rPr>
            </w:pPr>
            <w:r>
              <w:rPr>
                <w:rFonts w:ascii="宋体" w:hAnsi="Bookman Old Style" w:eastAsia="宋体" w:cs="Times New Roman"/>
                <w:sz w:val="24"/>
                <w:szCs w:val="24"/>
              </w:rPr>
              <w:t>中国科学院光电技术研究所用户指定项目现场</w:t>
            </w:r>
          </w:p>
        </w:tc>
      </w:tr>
    </w:tbl>
    <w:p w14:paraId="04CF09F1">
      <w:pPr>
        <w:pStyle w:val="6"/>
        <w:spacing w:line="360" w:lineRule="auto"/>
        <w:ind w:firstLine="0" w:firstLineChars="0"/>
      </w:pPr>
    </w:p>
    <w:p w14:paraId="6D99B79F">
      <w:pPr>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注：</w:t>
      </w:r>
      <w:r>
        <w:rPr>
          <w:rFonts w:hint="eastAsia" w:ascii="Times New Roman" w:hAnsi="Times New Roman" w:eastAsia="宋体" w:cs="Times New Roman"/>
          <w:color w:val="000000"/>
          <w:sz w:val="24"/>
          <w:szCs w:val="24"/>
        </w:rPr>
        <w:t>本项目共一个包，</w:t>
      </w:r>
      <w:r>
        <w:rPr>
          <w:rFonts w:ascii="Times New Roman" w:hAnsi="Times New Roman" w:eastAsia="宋体" w:cs="Times New Roman"/>
          <w:color w:val="000000"/>
          <w:sz w:val="24"/>
          <w:szCs w:val="24"/>
        </w:rPr>
        <w:t>投标人须对上述投标内容中完整的一包进行投标</w:t>
      </w:r>
      <w:r>
        <w:rPr>
          <w:rFonts w:hint="eastAsia" w:ascii="Times New Roman" w:hAnsi="Times New Roman" w:eastAsia="宋体" w:cs="Times New Roman"/>
          <w:color w:val="000000"/>
          <w:sz w:val="24"/>
          <w:szCs w:val="24"/>
        </w:rPr>
        <w:t>响应</w:t>
      </w:r>
      <w:r>
        <w:rPr>
          <w:rFonts w:ascii="Times New Roman" w:hAnsi="Times New Roman" w:eastAsia="宋体" w:cs="Times New Roman"/>
          <w:color w:val="000000"/>
          <w:sz w:val="24"/>
          <w:szCs w:val="24"/>
        </w:rPr>
        <w:t>，不完整的投标将视为非响应性投标予以拒绝。</w:t>
      </w:r>
    </w:p>
    <w:p w14:paraId="2CC4DE75">
      <w:pPr>
        <w:adjustRightInd w:val="0"/>
        <w:snapToGrid w:val="0"/>
        <w:spacing w:line="360" w:lineRule="auto"/>
        <w:rPr>
          <w:rFonts w:ascii="Times New Roman" w:hAnsi="Times New Roman" w:eastAsia="宋体" w:cs="Times New Roman"/>
          <w:b/>
          <w:color w:val="000000"/>
          <w:sz w:val="30"/>
          <w:szCs w:val="30"/>
        </w:rPr>
      </w:pPr>
    </w:p>
    <w:p w14:paraId="3D91A175">
      <w:pPr>
        <w:adjustRightInd w:val="0"/>
        <w:snapToGrid w:val="0"/>
        <w:spacing w:line="360" w:lineRule="auto"/>
        <w:jc w:val="center"/>
        <w:rPr>
          <w:rFonts w:ascii="Times New Roman" w:hAnsi="Times New Roman" w:eastAsia="宋体" w:cs="Times New Roman"/>
          <w:b/>
          <w:color w:val="000000"/>
          <w:sz w:val="30"/>
          <w:szCs w:val="30"/>
        </w:rPr>
      </w:pPr>
    </w:p>
    <w:p w14:paraId="774DD893">
      <w:pPr>
        <w:spacing w:after="120" w:line="360" w:lineRule="auto"/>
        <w:ind w:left="420" w:leftChars="200" w:firstLine="420" w:firstLineChars="200"/>
        <w:rPr>
          <w:rFonts w:ascii="Times New Roman" w:hAnsi="Times New Roman" w:eastAsia="宋体" w:cs="Times New Roman"/>
          <w:szCs w:val="24"/>
        </w:rPr>
      </w:pPr>
    </w:p>
    <w:p w14:paraId="10387C63">
      <w:pPr>
        <w:widowControl/>
        <w:spacing w:line="360" w:lineRule="auto"/>
        <w:jc w:val="left"/>
        <w:rPr>
          <w:rFonts w:ascii="Times New Roman" w:hAnsi="Times New Roman" w:eastAsia="宋体" w:cs="Times New Roman"/>
          <w:b/>
          <w:bCs/>
          <w:sz w:val="32"/>
          <w:szCs w:val="32"/>
        </w:rPr>
      </w:pPr>
      <w:r>
        <w:rPr>
          <w:rFonts w:ascii="Times New Roman" w:hAnsi="Times New Roman" w:eastAsia="宋体" w:cs="Times New Roman"/>
          <w:bCs/>
          <w:sz w:val="32"/>
          <w:szCs w:val="32"/>
        </w:rPr>
        <w:br w:type="page"/>
      </w:r>
    </w:p>
    <w:p w14:paraId="180853AA">
      <w:pPr>
        <w:keepNext/>
        <w:keepLines/>
        <w:spacing w:before="240" w:after="120" w:line="360" w:lineRule="auto"/>
        <w:jc w:val="center"/>
        <w:outlineLvl w:val="1"/>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二、总则</w:t>
      </w:r>
    </w:p>
    <w:p w14:paraId="38EBA2D0">
      <w:pPr>
        <w:autoSpaceDE w:val="0"/>
        <w:autoSpaceDN w:val="0"/>
        <w:adjustRightInd w:val="0"/>
        <w:spacing w:line="360" w:lineRule="auto"/>
        <w:ind w:firstLine="420"/>
        <w:jc w:val="left"/>
        <w:rPr>
          <w:rFonts w:ascii="宋体" w:hAnsi="Times New Roman" w:eastAsia="宋体" w:cs="Times New Roman"/>
          <w:kern w:val="0"/>
          <w:sz w:val="24"/>
          <w:szCs w:val="20"/>
        </w:rPr>
      </w:pPr>
    </w:p>
    <w:p w14:paraId="2AD07F97">
      <w:pPr>
        <w:spacing w:line="360" w:lineRule="auto"/>
        <w:rPr>
          <w:rFonts w:ascii="宋体" w:hAnsi="宋体" w:eastAsia="宋体" w:cs="Times New Roman"/>
          <w:bCs/>
          <w:sz w:val="24"/>
          <w:szCs w:val="24"/>
        </w:rPr>
      </w:pPr>
      <w:bookmarkStart w:id="0" w:name="_Hlk108442230"/>
      <w:r>
        <w:rPr>
          <w:rFonts w:hint="eastAsia" w:ascii="宋体" w:hAnsi="宋体" w:eastAsia="宋体" w:cs="Times New Roman"/>
          <w:bCs/>
          <w:sz w:val="24"/>
          <w:szCs w:val="24"/>
        </w:rPr>
        <w:t>1、投标要求</w:t>
      </w:r>
    </w:p>
    <w:p w14:paraId="2266AC0C">
      <w:pPr>
        <w:spacing w:line="360" w:lineRule="auto"/>
        <w:rPr>
          <w:rFonts w:ascii="宋体" w:hAnsi="宋体" w:eastAsia="宋体" w:cs="Times New Roman"/>
          <w:bCs/>
          <w:sz w:val="24"/>
          <w:szCs w:val="24"/>
        </w:rPr>
      </w:pPr>
      <w:r>
        <w:rPr>
          <w:rFonts w:hint="eastAsia" w:ascii="宋体" w:hAnsi="宋体" w:eastAsia="宋体" w:cs="Times New Roman"/>
          <w:bCs/>
          <w:sz w:val="24"/>
          <w:szCs w:val="24"/>
        </w:rPr>
        <w:t>1.1  投标人在准备投标书时，务必在所提供的商品的技术规格文件中，标明型号、商标名称、目录号；</w:t>
      </w:r>
    </w:p>
    <w:p w14:paraId="29761646">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1.2  </w:t>
      </w:r>
      <w:r>
        <w:rPr>
          <w:rFonts w:hint="eastAsia" w:ascii="宋体" w:hAnsi="宋体" w:eastAsia="宋体" w:cs="Times New Roman"/>
          <w:sz w:val="24"/>
          <w:szCs w:val="24"/>
        </w:rPr>
        <w:t>投标人提供的货物须是全新的成熟的产品</w:t>
      </w:r>
      <w:r>
        <w:rPr>
          <w:rFonts w:hint="eastAsia" w:ascii="宋体" w:hAnsi="宋体" w:eastAsia="宋体" w:cs="Times New Roman"/>
          <w:bCs/>
          <w:sz w:val="24"/>
          <w:szCs w:val="24"/>
        </w:rPr>
        <w:t>，其技术规格应符合招标文件的要求。如与招标文件的技术规格有偏差，应提供技术规格偏差的量值或说明（偏离表）。如投标人有意隐瞒对规格要求的偏差或在开标后提出新的偏差，采购人有权拒绝其投标；</w:t>
      </w:r>
    </w:p>
    <w:p w14:paraId="7C939B5E">
      <w:pPr>
        <w:spacing w:line="360" w:lineRule="auto"/>
        <w:rPr>
          <w:rFonts w:ascii="宋体" w:hAnsi="宋体" w:eastAsia="宋体" w:cs="Times New Roman"/>
          <w:bCs/>
          <w:sz w:val="24"/>
          <w:szCs w:val="24"/>
        </w:rPr>
      </w:pPr>
      <w:r>
        <w:rPr>
          <w:rFonts w:hint="eastAsia" w:ascii="宋体" w:hAnsi="宋体" w:eastAsia="宋体" w:cs="Times New Roman"/>
          <w:bCs/>
          <w:sz w:val="24"/>
          <w:szCs w:val="24"/>
        </w:rPr>
        <w:t>1.3  投标人提供的产品样本（如技术文件、官方彩页等）、图表、简图、电路图以及印刷电路板图等都应清晰易读，可以是英文版本，但必须提供中文译文件，当中英文冲突时以中文文件为准。采购人有权不付任何附加费用复制这些资料以供参考；</w:t>
      </w:r>
    </w:p>
    <w:p w14:paraId="5C3A445C">
      <w:pPr>
        <w:spacing w:line="360" w:lineRule="auto"/>
        <w:rPr>
          <w:rFonts w:ascii="宋体" w:hAnsi="宋体" w:eastAsia="宋体" w:cs="Times New Roman"/>
          <w:bCs/>
          <w:sz w:val="24"/>
          <w:szCs w:val="24"/>
        </w:rPr>
      </w:pPr>
      <w:r>
        <w:rPr>
          <w:rFonts w:hint="eastAsia" w:ascii="宋体" w:hAnsi="宋体" w:eastAsia="宋体" w:cs="Times New Roman"/>
          <w:bCs/>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ABBD36E">
      <w:pPr>
        <w:spacing w:line="360" w:lineRule="auto"/>
        <w:rPr>
          <w:rFonts w:ascii="宋体" w:hAnsi="宋体" w:eastAsia="宋体" w:cs="Times New Roman"/>
          <w:bCs/>
          <w:sz w:val="24"/>
          <w:szCs w:val="24"/>
        </w:rPr>
      </w:pPr>
      <w:r>
        <w:rPr>
          <w:rFonts w:hint="eastAsia" w:ascii="宋体" w:hAnsi="宋体" w:eastAsia="宋体" w:cs="Times New Roman"/>
          <w:bCs/>
          <w:sz w:val="24"/>
          <w:szCs w:val="24"/>
        </w:rPr>
        <w:t>2、评标标准</w:t>
      </w:r>
    </w:p>
    <w:p w14:paraId="48CDA11E">
      <w:pPr>
        <w:spacing w:line="360" w:lineRule="auto"/>
        <w:rPr>
          <w:rFonts w:ascii="宋体" w:hAnsi="宋体"/>
          <w:bCs/>
          <w:sz w:val="24"/>
        </w:rPr>
      </w:pPr>
      <w:r>
        <w:rPr>
          <w:rFonts w:hint="eastAsia" w:ascii="宋体" w:hAnsi="宋体"/>
          <w:bCs/>
          <w:sz w:val="24"/>
        </w:rPr>
        <w:t>2.1  除招标文件中指定的附件和专用工具外，投标人应提供货物的正常运行和常规保养所需的全套标准附件、专用工具和消耗品。投标人在投标函中需列出这些附件和工具的数量和单价的清单，这些附件和工具的报价的总值需计入投标价中；</w:t>
      </w:r>
    </w:p>
    <w:p w14:paraId="634A6185">
      <w:pPr>
        <w:spacing w:line="360" w:lineRule="auto"/>
        <w:rPr>
          <w:rFonts w:ascii="宋体" w:hAnsi="宋体"/>
          <w:bCs/>
          <w:sz w:val="24"/>
        </w:rPr>
      </w:pPr>
      <w:r>
        <w:rPr>
          <w:rFonts w:hint="eastAsia" w:ascii="宋体" w:hAnsi="宋体"/>
          <w:bCs/>
          <w:sz w:val="24"/>
        </w:rPr>
        <w:t>2.2  对于标书技术规范中已列出的作为查询选件的附件、零配件、专用工具和消耗品，投标函中应列明其数量、单价、总价供采购人参考。投标人也可推荐采购人没有要求的附件或专用工具作为选件，并列明其数量、单价、总价供采购人参考。选件价格不计入评标价中；</w:t>
      </w:r>
    </w:p>
    <w:p w14:paraId="12E71954">
      <w:pPr>
        <w:spacing w:line="360" w:lineRule="auto"/>
        <w:rPr>
          <w:rFonts w:ascii="宋体" w:hAnsi="宋体" w:eastAsia="宋体" w:cs="Times New Roman"/>
          <w:bCs/>
          <w:sz w:val="24"/>
          <w:szCs w:val="24"/>
        </w:rPr>
      </w:pPr>
      <w:r>
        <w:rPr>
          <w:rFonts w:hint="eastAsia" w:ascii="宋体" w:hAnsi="宋体" w:eastAsia="宋体" w:cs="Times New Roman"/>
          <w:bCs/>
          <w:sz w:val="24"/>
          <w:szCs w:val="24"/>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14:paraId="2D20DC55">
      <w:pPr>
        <w:spacing w:line="360" w:lineRule="auto"/>
        <w:rPr>
          <w:rFonts w:ascii="宋体" w:hAnsi="宋体" w:eastAsia="宋体" w:cs="Times New Roman"/>
          <w:bCs/>
          <w:sz w:val="24"/>
          <w:szCs w:val="24"/>
        </w:rPr>
      </w:pPr>
      <w:r>
        <w:rPr>
          <w:rFonts w:hint="eastAsia" w:ascii="宋体" w:hAnsi="宋体" w:eastAsia="宋体" w:cs="Times New Roman"/>
          <w:bCs/>
          <w:sz w:val="24"/>
          <w:szCs w:val="24"/>
        </w:rPr>
        <w:t>2.4  关于设备的安装调试，如果有必要的安装准备条件，投标人应在合同生效后一个月内向买方提出详细的要求或计划。安装调试的费用应计入投标价中，并应单独列出，供评标使用；</w:t>
      </w:r>
    </w:p>
    <w:p w14:paraId="47B02E3B">
      <w:pPr>
        <w:spacing w:line="360" w:lineRule="auto"/>
        <w:rPr>
          <w:rFonts w:ascii="宋体" w:hAnsi="宋体" w:eastAsia="宋体" w:cs="Times New Roman"/>
          <w:bCs/>
          <w:sz w:val="24"/>
          <w:szCs w:val="24"/>
        </w:rPr>
      </w:pPr>
      <w:r>
        <w:rPr>
          <w:rFonts w:hint="eastAsia" w:ascii="宋体" w:hAnsi="宋体" w:eastAsia="宋体" w:cs="Times New Roman"/>
          <w:bCs/>
          <w:sz w:val="24"/>
          <w:szCs w:val="24"/>
        </w:rPr>
        <w:t>2.5  制造厂家提供的培训指的是涉及货物的基本原理、操作使用和保养维修等有关内容的培训。培训教员的培训费、旅费、食宿费等费用和培训场地费及培训资料费均应由投标人支付。</w:t>
      </w:r>
    </w:p>
    <w:p w14:paraId="7BC3250F">
      <w:pPr>
        <w:spacing w:line="360" w:lineRule="auto"/>
        <w:rPr>
          <w:rFonts w:ascii="宋体" w:hAnsi="宋体" w:eastAsia="宋体" w:cs="Times New Roman"/>
          <w:bCs/>
          <w:sz w:val="24"/>
          <w:szCs w:val="24"/>
        </w:rPr>
      </w:pPr>
      <w:r>
        <w:rPr>
          <w:rFonts w:hint="eastAsia" w:ascii="宋体" w:hAnsi="宋体" w:eastAsia="宋体" w:cs="Times New Roman"/>
          <w:bCs/>
          <w:sz w:val="24"/>
          <w:szCs w:val="24"/>
        </w:rPr>
        <w:t>3、工作条件</w:t>
      </w:r>
    </w:p>
    <w:p w14:paraId="227E2255">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除非在技术规格中另有说明，所有货物和系统都应符合下列要求： </w:t>
      </w:r>
    </w:p>
    <w:p w14:paraId="44D726DE">
      <w:pPr>
        <w:spacing w:line="360" w:lineRule="auto"/>
        <w:rPr>
          <w:rFonts w:ascii="宋体" w:hAnsi="宋体" w:eastAsia="宋体" w:cs="Times New Roman"/>
          <w:bCs/>
          <w:sz w:val="24"/>
          <w:szCs w:val="24"/>
        </w:rPr>
      </w:pPr>
      <w:r>
        <w:rPr>
          <w:rFonts w:hint="eastAsia" w:ascii="宋体" w:hAnsi="宋体" w:eastAsia="宋体" w:cs="Times New Roman"/>
          <w:bCs/>
          <w:sz w:val="24"/>
          <w:szCs w:val="24"/>
        </w:rPr>
        <w:t>3.1  适于在气温为摄氏-40℃～＋50℃和相对湿度为90％的环境条件下运输和贮存；</w:t>
      </w:r>
    </w:p>
    <w:p w14:paraId="47ACFBD4">
      <w:pPr>
        <w:spacing w:line="360" w:lineRule="auto"/>
        <w:rPr>
          <w:rFonts w:ascii="宋体" w:hAnsi="宋体" w:eastAsia="宋体" w:cs="Times New Roman"/>
          <w:bCs/>
          <w:sz w:val="24"/>
          <w:szCs w:val="24"/>
        </w:rPr>
      </w:pPr>
      <w:r>
        <w:rPr>
          <w:rFonts w:ascii="宋体" w:hAnsi="宋体" w:eastAsia="宋体" w:cs="Times New Roman"/>
          <w:bCs/>
          <w:sz w:val="24"/>
          <w:szCs w:val="24"/>
        </w:rPr>
        <w:t xml:space="preserve">3.2  </w:t>
      </w:r>
      <w:r>
        <w:rPr>
          <w:rFonts w:hint="eastAsia" w:ascii="宋体" w:hAnsi="宋体" w:eastAsia="宋体" w:cs="Times New Roman"/>
          <w:bCs/>
          <w:sz w:val="24"/>
          <w:szCs w:val="24"/>
        </w:rPr>
        <w:t>适于在电源</w:t>
      </w:r>
      <w:r>
        <w:rPr>
          <w:rFonts w:ascii="宋体" w:hAnsi="宋体" w:eastAsia="宋体" w:cs="Times New Roman"/>
          <w:bCs/>
          <w:sz w:val="24"/>
          <w:szCs w:val="24"/>
        </w:rPr>
        <w:t>220V</w:t>
      </w:r>
      <w:r>
        <w:rPr>
          <w:rFonts w:hint="eastAsia" w:ascii="宋体" w:hAnsi="宋体" w:eastAsia="宋体" w:cs="Times New Roman"/>
          <w:bCs/>
          <w:sz w:val="24"/>
          <w:szCs w:val="24"/>
        </w:rPr>
        <w:t>（</w:t>
      </w:r>
      <w:r>
        <w:rPr>
          <w:rFonts w:ascii="宋体" w:hAnsi="宋体" w:eastAsia="宋体" w:cs="Times New Roman"/>
          <w:bCs/>
          <w:sz w:val="24"/>
          <w:szCs w:val="24"/>
        </w:rPr>
        <w:t>10</w:t>
      </w:r>
      <w:r>
        <w:rPr>
          <w:rFonts w:hint="eastAsia" w:ascii="宋体" w:hAnsi="宋体" w:eastAsia="宋体" w:cs="Times New Roman"/>
          <w:bCs/>
          <w:sz w:val="24"/>
          <w:szCs w:val="24"/>
        </w:rPr>
        <w:t>％）</w:t>
      </w:r>
      <w:r>
        <w:rPr>
          <w:rFonts w:ascii="宋体" w:hAnsi="宋体" w:eastAsia="宋体" w:cs="Times New Roman"/>
          <w:bCs/>
          <w:sz w:val="24"/>
          <w:szCs w:val="24"/>
        </w:rPr>
        <w:t>/50Hz</w:t>
      </w:r>
      <w:r>
        <w:rPr>
          <w:rFonts w:hint="eastAsia" w:ascii="宋体" w:hAnsi="宋体" w:eastAsia="宋体" w:cs="Times New Roman"/>
          <w:bCs/>
          <w:sz w:val="24"/>
          <w:szCs w:val="24"/>
        </w:rPr>
        <w:t>、气温摄氏</w:t>
      </w:r>
      <w:r>
        <w:rPr>
          <w:rFonts w:ascii="宋体" w:hAnsi="宋体" w:eastAsia="宋体" w:cs="Times New Roman"/>
          <w:bCs/>
          <w:sz w:val="24"/>
          <w:szCs w:val="24"/>
        </w:rPr>
        <w:t>-40</w:t>
      </w:r>
      <w:r>
        <w:rPr>
          <w:rFonts w:hint="eastAsia" w:ascii="微软雅黑" w:hAnsi="微软雅黑" w:eastAsia="微软雅黑" w:cs="微软雅黑"/>
          <w:bCs/>
          <w:sz w:val="24"/>
          <w:szCs w:val="24"/>
        </w:rPr>
        <w:t>˚</w:t>
      </w:r>
      <w:r>
        <w:rPr>
          <w:rFonts w:ascii="宋体" w:hAnsi="宋体" w:eastAsia="宋体" w:cs="Times New Roman"/>
          <w:bCs/>
          <w:sz w:val="24"/>
          <w:szCs w:val="24"/>
        </w:rPr>
        <w:t>C ~50</w:t>
      </w:r>
      <w:r>
        <w:rPr>
          <w:rFonts w:hint="eastAsia" w:ascii="微软雅黑" w:hAnsi="微软雅黑" w:eastAsia="微软雅黑" w:cs="微软雅黑"/>
          <w:bCs/>
          <w:sz w:val="24"/>
          <w:szCs w:val="24"/>
        </w:rPr>
        <w:t>˚</w:t>
      </w:r>
      <w:r>
        <w:rPr>
          <w:rFonts w:ascii="宋体" w:hAnsi="宋体" w:eastAsia="宋体" w:cs="Times New Roman"/>
          <w:bCs/>
          <w:sz w:val="24"/>
          <w:szCs w:val="24"/>
        </w:rPr>
        <w:t>C</w:t>
      </w:r>
      <w:r>
        <w:rPr>
          <w:rFonts w:hint="eastAsia" w:ascii="宋体" w:hAnsi="宋体" w:eastAsia="宋体" w:cs="Times New Roman"/>
          <w:bCs/>
          <w:sz w:val="24"/>
          <w:szCs w:val="24"/>
        </w:rPr>
        <w:t>和相对湿度</w:t>
      </w:r>
      <w:r>
        <w:rPr>
          <w:rFonts w:ascii="宋体" w:hAnsi="宋体" w:eastAsia="宋体" w:cs="Times New Roman"/>
          <w:bCs/>
          <w:sz w:val="24"/>
          <w:szCs w:val="24"/>
        </w:rPr>
        <w:t>0~100%</w:t>
      </w:r>
      <w:r>
        <w:rPr>
          <w:rFonts w:hint="eastAsia" w:ascii="宋体" w:hAnsi="宋体" w:eastAsia="宋体" w:cs="Times New Roman"/>
          <w:bCs/>
          <w:sz w:val="24"/>
          <w:szCs w:val="24"/>
        </w:rPr>
        <w:t>的环境条件下运行。能够连续正常工作；</w:t>
      </w:r>
    </w:p>
    <w:p w14:paraId="7E788DB4">
      <w:pPr>
        <w:spacing w:line="360" w:lineRule="auto"/>
        <w:rPr>
          <w:rFonts w:ascii="宋体" w:hAnsi="宋体" w:eastAsia="宋体" w:cs="Times New Roman"/>
          <w:bCs/>
          <w:sz w:val="24"/>
          <w:szCs w:val="24"/>
        </w:rPr>
      </w:pPr>
      <w:r>
        <w:rPr>
          <w:rFonts w:hint="eastAsia" w:ascii="宋体" w:hAnsi="宋体" w:eastAsia="宋体" w:cs="Times New Roman"/>
          <w:bCs/>
          <w:sz w:val="24"/>
          <w:szCs w:val="24"/>
        </w:rPr>
        <w:t>3.3  配置符合中国有关标准要求的插头，如果没有这样的插头，则需提供适当的转换插座；</w:t>
      </w:r>
    </w:p>
    <w:p w14:paraId="6615B350">
      <w:pPr>
        <w:spacing w:line="360" w:lineRule="auto"/>
        <w:rPr>
          <w:rFonts w:ascii="宋体" w:hAnsi="宋体" w:eastAsia="宋体" w:cs="Times New Roman"/>
          <w:bCs/>
          <w:sz w:val="24"/>
          <w:szCs w:val="24"/>
        </w:rPr>
      </w:pPr>
      <w:r>
        <w:rPr>
          <w:rFonts w:hint="eastAsia" w:ascii="宋体" w:hAnsi="宋体" w:eastAsia="宋体" w:cs="Times New Roman"/>
          <w:bCs/>
          <w:sz w:val="24"/>
          <w:szCs w:val="24"/>
        </w:rPr>
        <w:t>3.4  如产品达不到上述要求，投标人应注明其偏差。如货物需要特殊工作条件（如水、电源、磁场强度、温度、湿度、动强度等）投标人应在投标书中加以说明。</w:t>
      </w:r>
    </w:p>
    <w:p w14:paraId="6B446ECE">
      <w:pPr>
        <w:spacing w:line="360" w:lineRule="auto"/>
        <w:rPr>
          <w:rFonts w:ascii="宋体" w:hAnsi="宋体" w:eastAsia="宋体" w:cs="Times New Roman"/>
          <w:bCs/>
          <w:sz w:val="24"/>
          <w:szCs w:val="24"/>
        </w:rPr>
      </w:pPr>
    </w:p>
    <w:p w14:paraId="58519CFD">
      <w:pPr>
        <w:spacing w:line="360" w:lineRule="auto"/>
        <w:rPr>
          <w:rFonts w:ascii="宋体" w:hAnsi="宋体" w:eastAsia="宋体" w:cs="Times New Roman"/>
          <w:bCs/>
          <w:sz w:val="24"/>
          <w:szCs w:val="24"/>
        </w:rPr>
      </w:pPr>
      <w:r>
        <w:rPr>
          <w:rFonts w:hint="eastAsia" w:ascii="宋体" w:hAnsi="宋体" w:eastAsia="宋体" w:cs="Times New Roman"/>
          <w:bCs/>
          <w:sz w:val="24"/>
          <w:szCs w:val="24"/>
        </w:rPr>
        <w:t>4、验收标准</w:t>
      </w:r>
    </w:p>
    <w:p w14:paraId="5FB436BF">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除非在技术规格中另有说明，所有货物和系统按下列要求进行验收： </w:t>
      </w:r>
    </w:p>
    <w:p w14:paraId="0275AC42">
      <w:pPr>
        <w:spacing w:line="360" w:lineRule="auto"/>
        <w:rPr>
          <w:rFonts w:ascii="宋体" w:hAnsi="宋体" w:eastAsia="宋体" w:cs="Times New Roman"/>
          <w:bCs/>
          <w:sz w:val="24"/>
          <w:szCs w:val="24"/>
        </w:rPr>
      </w:pPr>
      <w:r>
        <w:rPr>
          <w:rFonts w:hint="eastAsia" w:ascii="宋体" w:hAnsi="宋体" w:eastAsia="宋体" w:cs="Times New Roman"/>
          <w:bCs/>
          <w:sz w:val="24"/>
          <w:szCs w:val="24"/>
        </w:rPr>
        <w:t>4.1 货物运抵安装现场后，采购人将与中标人共同开箱验收,如中标人届时不派人来, 则验收结果应以采购人的验收报告为最终验收结果。验收时发现短缺、破损, 采购人有权要求中标人负责更换；</w:t>
      </w:r>
    </w:p>
    <w:p w14:paraId="7B836068">
      <w:pPr>
        <w:spacing w:line="360" w:lineRule="auto"/>
        <w:rPr>
          <w:rFonts w:ascii="宋体" w:hAnsi="宋体" w:eastAsia="宋体" w:cs="Times New Roman"/>
          <w:bCs/>
          <w:sz w:val="24"/>
          <w:szCs w:val="24"/>
        </w:rPr>
      </w:pPr>
      <w:r>
        <w:rPr>
          <w:rFonts w:hint="eastAsia" w:ascii="宋体" w:hAnsi="宋体" w:eastAsia="宋体" w:cs="Times New Roman"/>
          <w:bCs/>
          <w:sz w:val="24"/>
          <w:szCs w:val="24"/>
        </w:rPr>
        <w:t>4.2  验收标准以中标人提供的投标文件中所列的指标为准。任何虚假指标响应一经发现即作废标，中标人必须承担由此给采购人带来的一切经济损失和其它相关责任；</w:t>
      </w:r>
    </w:p>
    <w:p w14:paraId="36C694F7">
      <w:pPr>
        <w:spacing w:line="360" w:lineRule="auto"/>
        <w:rPr>
          <w:rFonts w:ascii="宋体" w:hAnsi="宋体" w:eastAsia="宋体" w:cs="Times New Roman"/>
          <w:bCs/>
          <w:sz w:val="24"/>
          <w:szCs w:val="24"/>
        </w:rPr>
      </w:pPr>
      <w:r>
        <w:rPr>
          <w:rFonts w:hint="eastAsia" w:ascii="宋体" w:hAnsi="宋体" w:eastAsia="宋体" w:cs="Times New Roman"/>
          <w:bCs/>
          <w:sz w:val="24"/>
          <w:szCs w:val="24"/>
        </w:rPr>
        <w:t>4.3  验收由采购人、中标人及相关人员依国家有关标准、合同及有关附件要求进行，验收完毕由采购人及中标人在验收报告上签名。</w:t>
      </w:r>
    </w:p>
    <w:p w14:paraId="5A0BE291">
      <w:pPr>
        <w:spacing w:line="360" w:lineRule="auto"/>
        <w:rPr>
          <w:rFonts w:ascii="宋体" w:hAnsi="宋体" w:eastAsia="宋体" w:cs="Times New Roman"/>
          <w:bCs/>
          <w:sz w:val="24"/>
          <w:szCs w:val="24"/>
        </w:rPr>
      </w:pPr>
    </w:p>
    <w:p w14:paraId="55691C41">
      <w:pPr>
        <w:spacing w:line="360" w:lineRule="auto"/>
        <w:rPr>
          <w:rFonts w:ascii="宋体" w:hAnsi="宋体" w:eastAsia="宋体" w:cs="Times New Roman"/>
          <w:b/>
          <w:sz w:val="24"/>
          <w:szCs w:val="24"/>
        </w:rPr>
      </w:pPr>
      <w:r>
        <w:rPr>
          <w:rFonts w:hint="eastAsia" w:ascii="宋体" w:hAnsi="宋体" w:eastAsia="宋体" w:cs="Times New Roman"/>
          <w:b/>
          <w:sz w:val="24"/>
          <w:szCs w:val="24"/>
        </w:rPr>
        <w:t>5、本项目需求中标注“★”号的为实质性要求，不满足其投标将被拒绝。</w:t>
      </w:r>
    </w:p>
    <w:p w14:paraId="5DC293CC">
      <w:pPr>
        <w:spacing w:line="360" w:lineRule="auto"/>
        <w:rPr>
          <w:rFonts w:ascii="宋体" w:hAnsi="宋体" w:eastAsia="宋体" w:cs="Times New Roman"/>
          <w:b/>
          <w:sz w:val="24"/>
          <w:szCs w:val="24"/>
        </w:rPr>
      </w:pPr>
    </w:p>
    <w:p w14:paraId="499B8431">
      <w:pPr>
        <w:spacing w:line="360" w:lineRule="auto"/>
        <w:rPr>
          <w:rFonts w:ascii="宋体" w:hAnsi="宋体" w:eastAsia="宋体" w:cs="Times New Roman"/>
          <w:b/>
          <w:sz w:val="24"/>
          <w:szCs w:val="24"/>
        </w:rPr>
      </w:pPr>
      <w:r>
        <w:rPr>
          <w:rFonts w:hint="eastAsia" w:ascii="宋体" w:hAnsi="宋体" w:eastAsia="宋体" w:cs="Times New Roman"/>
          <w:b/>
          <w:sz w:val="24"/>
          <w:szCs w:val="24"/>
        </w:rPr>
        <w:t>6、如在具体要求中有本总则不一致之处，以具体要求中的要求内容为准。</w:t>
      </w:r>
    </w:p>
    <w:bookmarkEnd w:id="0"/>
    <w:p w14:paraId="6AF2CD85">
      <w:pPr>
        <w:widowControl/>
        <w:spacing w:line="360" w:lineRule="auto"/>
        <w:jc w:val="left"/>
        <w:rPr>
          <w:rFonts w:ascii="宋体" w:hAnsi="Times New Roman" w:eastAsia="宋体" w:cs="Times New Roman"/>
          <w:b/>
          <w:bCs/>
          <w:kern w:val="0"/>
          <w:sz w:val="32"/>
          <w:szCs w:val="32"/>
        </w:rPr>
      </w:pPr>
      <w:r>
        <w:rPr>
          <w:rFonts w:ascii="Times New Roman" w:hAnsi="Times New Roman" w:eastAsia="宋体" w:cs="Times New Roman"/>
          <w:b/>
          <w:bCs/>
          <w:sz w:val="32"/>
          <w:szCs w:val="32"/>
        </w:rPr>
        <w:br w:type="page"/>
      </w:r>
    </w:p>
    <w:p w14:paraId="76D5B7D6">
      <w:pPr>
        <w:numPr>
          <w:ilvl w:val="0"/>
          <w:numId w:val="1"/>
        </w:numPr>
        <w:autoSpaceDE w:val="0"/>
        <w:autoSpaceDN w:val="0"/>
        <w:adjustRightInd w:val="0"/>
        <w:spacing w:line="360" w:lineRule="auto"/>
        <w:ind w:firstLine="420"/>
        <w:jc w:val="center"/>
        <w:outlineLvl w:val="1"/>
        <w:rPr>
          <w:rFonts w:ascii="宋体" w:hAnsi="Times New Roman" w:eastAsia="宋体" w:cs="Times New Roman"/>
          <w:b/>
          <w:bCs/>
          <w:kern w:val="0"/>
          <w:sz w:val="32"/>
          <w:szCs w:val="32"/>
        </w:rPr>
      </w:pPr>
      <w:r>
        <w:rPr>
          <w:rFonts w:hint="eastAsia" w:ascii="宋体" w:hAnsi="Times New Roman" w:eastAsia="宋体" w:cs="Times New Roman"/>
          <w:b/>
          <w:bCs/>
          <w:kern w:val="0"/>
          <w:sz w:val="32"/>
          <w:szCs w:val="32"/>
        </w:rPr>
        <w:t>具体要求</w:t>
      </w:r>
    </w:p>
    <w:p w14:paraId="75914803">
      <w:pPr>
        <w:jc w:val="left"/>
        <w:rPr>
          <w:rFonts w:ascii="Times New Roman" w:hAnsi="Times New Roman" w:eastAsia="宋体"/>
          <w:b/>
          <w:sz w:val="24"/>
        </w:rPr>
      </w:pPr>
    </w:p>
    <w:p w14:paraId="25256054">
      <w:pPr>
        <w:spacing w:line="360" w:lineRule="auto"/>
        <w:ind w:firstLine="562" w:firstLineChars="200"/>
        <w:jc w:val="center"/>
        <w:rPr>
          <w:rFonts w:ascii="Times New Roman" w:hAnsi="Times New Roman" w:eastAsia="宋体"/>
          <w:b/>
          <w:bCs/>
          <w:sz w:val="28"/>
          <w:szCs w:val="24"/>
        </w:rPr>
      </w:pPr>
      <w:r>
        <w:rPr>
          <w:rFonts w:hint="eastAsia" w:ascii="Times New Roman" w:hAnsi="Times New Roman" w:eastAsia="宋体"/>
          <w:b/>
          <w:bCs/>
          <w:sz w:val="28"/>
          <w:szCs w:val="24"/>
        </w:rPr>
        <w:t>原子层沉积设备</w:t>
      </w:r>
    </w:p>
    <w:p w14:paraId="1ACEE194">
      <w:pPr>
        <w:widowControl/>
        <w:snapToGrid w:val="0"/>
        <w:spacing w:line="360" w:lineRule="auto"/>
        <w:jc w:val="center"/>
        <w:rPr>
          <w:rFonts w:ascii="宋体" w:hAnsi="宋体" w:eastAsia="宋体" w:cs="宋体"/>
          <w:b/>
          <w:color w:val="000000" w:themeColor="text1"/>
          <w:sz w:val="24"/>
          <w:szCs w:val="24"/>
          <w14:textFill>
            <w14:solidFill>
              <w14:schemeClr w14:val="tx1"/>
            </w14:solidFill>
          </w14:textFill>
        </w:rPr>
      </w:pPr>
    </w:p>
    <w:p w14:paraId="397D01E8">
      <w:pPr>
        <w:pStyle w:val="5"/>
        <w:numPr>
          <w:ilvl w:val="0"/>
          <w:numId w:val="2"/>
        </w:numPr>
        <w:spacing w:line="360" w:lineRule="auto"/>
        <w:ind w:right="708" w:rightChars="337" w:hanging="905"/>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招标项目信息</w:t>
      </w:r>
    </w:p>
    <w:tbl>
      <w:tblPr>
        <w:tblStyle w:val="7"/>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50"/>
        <w:gridCol w:w="681"/>
        <w:gridCol w:w="1091"/>
        <w:gridCol w:w="1651"/>
        <w:gridCol w:w="1238"/>
        <w:gridCol w:w="1260"/>
        <w:gridCol w:w="1260"/>
      </w:tblGrid>
      <w:tr w14:paraId="3190E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75" w:type="dxa"/>
            <w:vAlign w:val="center"/>
          </w:tcPr>
          <w:p w14:paraId="25D8FC1B">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序号</w:t>
            </w:r>
          </w:p>
        </w:tc>
        <w:tc>
          <w:tcPr>
            <w:tcW w:w="1550" w:type="dxa"/>
            <w:noWrap/>
            <w:vAlign w:val="center"/>
          </w:tcPr>
          <w:p w14:paraId="20291CFD">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设备名称</w:t>
            </w:r>
          </w:p>
        </w:tc>
        <w:tc>
          <w:tcPr>
            <w:tcW w:w="681" w:type="dxa"/>
            <w:vAlign w:val="center"/>
          </w:tcPr>
          <w:p w14:paraId="5476AF39">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数量</w:t>
            </w:r>
          </w:p>
        </w:tc>
        <w:tc>
          <w:tcPr>
            <w:tcW w:w="1091" w:type="dxa"/>
            <w:noWrap/>
            <w:vAlign w:val="center"/>
          </w:tcPr>
          <w:p w14:paraId="6095EC75">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单位</w:t>
            </w:r>
          </w:p>
        </w:tc>
        <w:tc>
          <w:tcPr>
            <w:tcW w:w="1651" w:type="dxa"/>
            <w:vAlign w:val="center"/>
          </w:tcPr>
          <w:p w14:paraId="2FF81C28">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是否接受进口设备参与投标</w:t>
            </w:r>
          </w:p>
        </w:tc>
        <w:tc>
          <w:tcPr>
            <w:tcW w:w="1238" w:type="dxa"/>
            <w:vAlign w:val="center"/>
          </w:tcPr>
          <w:p w14:paraId="1A0FDBE5">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预算金额</w:t>
            </w:r>
          </w:p>
          <w:p w14:paraId="749C13BC">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（万元）</w:t>
            </w:r>
          </w:p>
        </w:tc>
        <w:tc>
          <w:tcPr>
            <w:tcW w:w="1260" w:type="dxa"/>
            <w:vAlign w:val="center"/>
          </w:tcPr>
          <w:p w14:paraId="6ABDD818">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最高限价（万元）</w:t>
            </w:r>
          </w:p>
        </w:tc>
        <w:tc>
          <w:tcPr>
            <w:tcW w:w="1260" w:type="dxa"/>
            <w:vAlign w:val="center"/>
          </w:tcPr>
          <w:p w14:paraId="6905989B">
            <w:pPr>
              <w:widowControl/>
              <w:snapToGrid w:val="0"/>
              <w:spacing w:before="156" w:beforeLines="50" w:line="360" w:lineRule="auto"/>
              <w:jc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本项目所属行业</w:t>
            </w:r>
          </w:p>
        </w:tc>
      </w:tr>
      <w:tr w14:paraId="5C18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75" w:type="dxa"/>
            <w:vAlign w:val="center"/>
          </w:tcPr>
          <w:p w14:paraId="515489AC">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一</w:t>
            </w:r>
          </w:p>
        </w:tc>
        <w:tc>
          <w:tcPr>
            <w:tcW w:w="1550" w:type="dxa"/>
            <w:vAlign w:val="center"/>
          </w:tcPr>
          <w:p w14:paraId="55B0A138">
            <w:pPr>
              <w:widowControl/>
              <w:spacing w:line="360" w:lineRule="auto"/>
              <w:jc w:val="left"/>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原子层沉积设备</w:t>
            </w:r>
          </w:p>
        </w:tc>
        <w:tc>
          <w:tcPr>
            <w:tcW w:w="681" w:type="dxa"/>
            <w:vAlign w:val="center"/>
          </w:tcPr>
          <w:p w14:paraId="1B568997">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091" w:type="dxa"/>
            <w:vAlign w:val="center"/>
          </w:tcPr>
          <w:p w14:paraId="0286E2F9">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套</w:t>
            </w:r>
          </w:p>
        </w:tc>
        <w:tc>
          <w:tcPr>
            <w:tcW w:w="1651" w:type="dxa"/>
            <w:vAlign w:val="center"/>
          </w:tcPr>
          <w:p w14:paraId="3B0C0CC1">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否</w:t>
            </w:r>
          </w:p>
        </w:tc>
        <w:tc>
          <w:tcPr>
            <w:tcW w:w="1238" w:type="dxa"/>
            <w:vAlign w:val="center"/>
          </w:tcPr>
          <w:p w14:paraId="0DB8A910">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r>
              <w:rPr>
                <w:rFonts w:ascii="宋体" w:hAnsi="宋体" w:eastAsia="宋体" w:cs="宋体"/>
                <w:color w:val="000000" w:themeColor="text1"/>
                <w:kern w:val="0"/>
                <w:sz w:val="24"/>
                <w:szCs w:val="24"/>
                <w14:textFill>
                  <w14:solidFill>
                    <w14:schemeClr w14:val="tx1"/>
                  </w14:solidFill>
                </w14:textFill>
              </w:rPr>
              <w:t>200</w:t>
            </w:r>
          </w:p>
        </w:tc>
        <w:tc>
          <w:tcPr>
            <w:tcW w:w="1260" w:type="dxa"/>
            <w:vAlign w:val="center"/>
          </w:tcPr>
          <w:p w14:paraId="4458681D">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r>
              <w:rPr>
                <w:rFonts w:ascii="宋体" w:hAnsi="宋体" w:eastAsia="宋体" w:cs="宋体"/>
                <w:color w:val="000000" w:themeColor="text1"/>
                <w:kern w:val="0"/>
                <w:sz w:val="24"/>
                <w:szCs w:val="24"/>
                <w14:textFill>
                  <w14:solidFill>
                    <w14:schemeClr w14:val="tx1"/>
                  </w14:solidFill>
                </w14:textFill>
              </w:rPr>
              <w:t>200</w:t>
            </w:r>
          </w:p>
        </w:tc>
        <w:tc>
          <w:tcPr>
            <w:tcW w:w="1260" w:type="dxa"/>
            <w:vAlign w:val="center"/>
          </w:tcPr>
          <w:p w14:paraId="2EA40B7C">
            <w:pPr>
              <w:widowControl/>
              <w:snapToGrid w:val="0"/>
              <w:spacing w:before="156" w:beforeLines="50" w:line="36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工业</w:t>
            </w:r>
          </w:p>
        </w:tc>
      </w:tr>
    </w:tbl>
    <w:p w14:paraId="7CC0264B">
      <w:pPr>
        <w:pStyle w:val="5"/>
        <w:numPr>
          <w:ilvl w:val="0"/>
          <w:numId w:val="2"/>
        </w:numPr>
        <w:spacing w:line="360" w:lineRule="auto"/>
        <w:ind w:right="708" w:rightChars="337" w:hanging="905"/>
        <w:jc w:val="both"/>
        <w:rPr>
          <w:rFonts w:ascii="宋体" w:hAnsi="宋体" w:eastAsia="宋体" w:cs="宋体"/>
          <w:color w:val="000000" w:themeColor="text1"/>
          <w:sz w:val="24"/>
          <w:szCs w:val="24"/>
          <w14:textFill>
            <w14:solidFill>
              <w14:schemeClr w14:val="tx1"/>
            </w14:solidFill>
          </w14:textFill>
        </w:rPr>
      </w:pPr>
      <w:bookmarkStart w:id="1" w:name="_Hlk175662058"/>
      <w:r>
        <w:rPr>
          <w:rFonts w:hint="eastAsia" w:ascii="宋体" w:hAnsi="宋体" w:eastAsia="宋体" w:cs="宋体"/>
          <w:color w:val="000000" w:themeColor="text1"/>
          <w:sz w:val="24"/>
          <w:szCs w:val="24"/>
          <w14:textFill>
            <w14:solidFill>
              <w14:schemeClr w14:val="tx1"/>
            </w14:solidFill>
          </w14:textFill>
        </w:rPr>
        <w:t>技术部分</w:t>
      </w:r>
    </w:p>
    <w:p w14:paraId="0D7C82E3">
      <w:pPr>
        <w:widowControl/>
        <w:snapToGrid w:val="0"/>
        <w:spacing w:line="360" w:lineRule="auto"/>
        <w:rPr>
          <w:rFonts w:ascii="宋体" w:hAnsi="宋体" w:eastAsia="宋体" w:cs="宋体"/>
          <w:b/>
          <w:color w:val="000000" w:themeColor="text1"/>
          <w:sz w:val="24"/>
          <w:szCs w:val="24"/>
          <w14:textFill>
            <w14:solidFill>
              <w14:schemeClr w14:val="tx1"/>
            </w14:solidFill>
          </w14:textFill>
        </w:rPr>
      </w:pPr>
      <w:r>
        <w:rPr>
          <w:rFonts w:ascii="宋体" w:hAnsi="宋体" w:eastAsia="宋体" w:cs="宋体"/>
          <w:b/>
          <w:color w:val="000000" w:themeColor="text1"/>
          <w:sz w:val="24"/>
          <w:szCs w:val="24"/>
          <w14:textFill>
            <w14:solidFill>
              <w14:schemeClr w14:val="tx1"/>
            </w14:solidFill>
          </w14:textFill>
        </w:rPr>
        <w:t>1</w:t>
      </w:r>
      <w:r>
        <w:rPr>
          <w:rFonts w:hint="eastAsia" w:ascii="宋体" w:hAnsi="宋体" w:eastAsia="宋体" w:cs="宋体"/>
          <w:b/>
          <w:color w:val="000000" w:themeColor="text1"/>
          <w:sz w:val="24"/>
          <w:szCs w:val="24"/>
          <w14:textFill>
            <w14:solidFill>
              <w14:schemeClr w14:val="tx1"/>
            </w14:solidFill>
          </w14:textFill>
        </w:rPr>
        <w:t>、配置清单及零配件（包括专用工具）：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409"/>
        <w:gridCol w:w="1810"/>
        <w:gridCol w:w="1570"/>
      </w:tblGrid>
      <w:tr w14:paraId="5A89E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21EE8CF">
            <w:pPr>
              <w:widowControl/>
              <w:snapToGrid w:val="0"/>
              <w:spacing w:before="156" w:beforeLines="50" w:line="360" w:lineRule="auto"/>
              <w:jc w:val="center"/>
              <w:rPr>
                <w:rFonts w:ascii="Times New Roman" w:hAnsi="Times New Roman" w:eastAsia="宋体"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14:textFill>
                  <w14:solidFill>
                    <w14:schemeClr w14:val="tx1"/>
                  </w14:solidFill>
                </w14:textFill>
              </w:rPr>
              <w:t>序号</w:t>
            </w:r>
          </w:p>
        </w:tc>
        <w:tc>
          <w:tcPr>
            <w:tcW w:w="4409" w:type="dxa"/>
          </w:tcPr>
          <w:p w14:paraId="5DC624BC">
            <w:pPr>
              <w:widowControl/>
              <w:snapToGrid w:val="0"/>
              <w:spacing w:before="156" w:beforeLines="50" w:line="360" w:lineRule="auto"/>
              <w:jc w:val="center"/>
              <w:rPr>
                <w:rFonts w:ascii="Times New Roman" w:hAnsi="Times New Roman" w:eastAsia="宋体"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14:textFill>
                  <w14:solidFill>
                    <w14:schemeClr w14:val="tx1"/>
                  </w14:solidFill>
                </w14:textFill>
              </w:rPr>
              <w:t>名称</w:t>
            </w:r>
          </w:p>
        </w:tc>
        <w:tc>
          <w:tcPr>
            <w:tcW w:w="1810" w:type="dxa"/>
          </w:tcPr>
          <w:p w14:paraId="30761D77">
            <w:pPr>
              <w:widowControl/>
              <w:snapToGrid w:val="0"/>
              <w:spacing w:before="156" w:beforeLines="50" w:line="360" w:lineRule="auto"/>
              <w:jc w:val="center"/>
              <w:rPr>
                <w:rFonts w:ascii="Times New Roman" w:hAnsi="Times New Roman" w:eastAsia="宋体"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14:textFill>
                  <w14:solidFill>
                    <w14:schemeClr w14:val="tx1"/>
                  </w14:solidFill>
                </w14:textFill>
              </w:rPr>
              <w:t>数量</w:t>
            </w:r>
          </w:p>
        </w:tc>
        <w:tc>
          <w:tcPr>
            <w:tcW w:w="1570" w:type="dxa"/>
          </w:tcPr>
          <w:p w14:paraId="23008B45">
            <w:pPr>
              <w:widowControl/>
              <w:snapToGrid w:val="0"/>
              <w:spacing w:before="156" w:beforeLines="50" w:line="360" w:lineRule="auto"/>
              <w:jc w:val="center"/>
              <w:rPr>
                <w:rFonts w:ascii="Times New Roman" w:hAnsi="Times New Roman" w:eastAsia="宋体" w:cs="Times New Roman"/>
                <w:b/>
                <w:bCs/>
                <w:color w:val="000000" w:themeColor="text1"/>
                <w:sz w:val="24"/>
                <w:szCs w:val="24"/>
                <w14:textFill>
                  <w14:solidFill>
                    <w14:schemeClr w14:val="tx1"/>
                  </w14:solidFill>
                </w14:textFill>
              </w:rPr>
            </w:pPr>
            <w:r>
              <w:rPr>
                <w:rFonts w:hint="eastAsia" w:ascii="Times New Roman" w:hAnsi="Times New Roman" w:eastAsia="宋体" w:cs="Times New Roman"/>
                <w:b/>
                <w:bCs/>
                <w:color w:val="000000" w:themeColor="text1"/>
                <w:sz w:val="24"/>
                <w:szCs w:val="24"/>
                <w14:textFill>
                  <w14:solidFill>
                    <w14:schemeClr w14:val="tx1"/>
                  </w14:solidFill>
                </w14:textFill>
              </w:rPr>
              <w:t>单位</w:t>
            </w:r>
          </w:p>
        </w:tc>
      </w:tr>
      <w:tr w14:paraId="3D766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9EC13C1">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1</w:t>
            </w:r>
          </w:p>
        </w:tc>
        <w:tc>
          <w:tcPr>
            <w:tcW w:w="4409" w:type="dxa"/>
          </w:tcPr>
          <w:p w14:paraId="5D9D0027">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12</w:t>
            </w:r>
            <w:r>
              <w:rPr>
                <w:rFonts w:hint="eastAsia" w:ascii="Times New Roman" w:hAnsi="Times New Roman" w:eastAsia="宋体" w:cs="Times New Roman"/>
                <w:color w:val="000000" w:themeColor="text1"/>
                <w:kern w:val="0"/>
                <w:sz w:val="24"/>
                <w:szCs w:val="24"/>
                <w14:textFill>
                  <w14:solidFill>
                    <w14:schemeClr w14:val="tx1"/>
                  </w14:solidFill>
                </w14:textFill>
              </w:rPr>
              <w:t>英寸半自动传送腔</w:t>
            </w:r>
          </w:p>
        </w:tc>
        <w:tc>
          <w:tcPr>
            <w:tcW w:w="1810" w:type="dxa"/>
          </w:tcPr>
          <w:p w14:paraId="0AAF6A8A">
            <w:pPr>
              <w:widowControl/>
              <w:snapToGrid w:val="0"/>
              <w:spacing w:before="156" w:beforeLines="50" w:line="360" w:lineRule="auto"/>
              <w:jc w:val="center"/>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5242CF5B">
            <w:pPr>
              <w:widowControl/>
              <w:snapToGrid w:val="0"/>
              <w:spacing w:before="156" w:beforeLines="50" w:line="360" w:lineRule="auto"/>
              <w:jc w:val="center"/>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1C060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79F99D6E">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4409" w:type="dxa"/>
          </w:tcPr>
          <w:p w14:paraId="490A005B">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12</w:t>
            </w:r>
            <w:r>
              <w:rPr>
                <w:rFonts w:hint="eastAsia" w:ascii="Times New Roman" w:hAnsi="Times New Roman" w:eastAsia="宋体" w:cs="Times New Roman"/>
                <w:color w:val="000000" w:themeColor="text1"/>
                <w:kern w:val="0"/>
                <w:sz w:val="24"/>
                <w:szCs w:val="24"/>
                <w14:textFill>
                  <w14:solidFill>
                    <w14:schemeClr w14:val="tx1"/>
                  </w14:solidFill>
                </w14:textFill>
              </w:rPr>
              <w:t>英寸晶圆热</w:t>
            </w:r>
            <w:r>
              <w:rPr>
                <w:rFonts w:ascii="Times New Roman" w:hAnsi="Times New Roman" w:eastAsia="宋体" w:cs="Times New Roman"/>
                <w:color w:val="000000" w:themeColor="text1"/>
                <w:kern w:val="0"/>
                <w:sz w:val="24"/>
                <w:szCs w:val="24"/>
                <w14:textFill>
                  <w14:solidFill>
                    <w14:schemeClr w14:val="tx1"/>
                  </w14:solidFill>
                </w14:textFill>
              </w:rPr>
              <w:t>ALD</w:t>
            </w:r>
            <w:r>
              <w:rPr>
                <w:rFonts w:hint="eastAsia" w:ascii="Times New Roman" w:hAnsi="Times New Roman" w:eastAsia="宋体" w:cs="Times New Roman"/>
                <w:color w:val="000000" w:themeColor="text1"/>
                <w:kern w:val="0"/>
                <w:sz w:val="24"/>
                <w:szCs w:val="24"/>
                <w14:textFill>
                  <w14:solidFill>
                    <w14:schemeClr w14:val="tx1"/>
                  </w14:solidFill>
                </w14:textFill>
              </w:rPr>
              <w:t>工艺系统</w:t>
            </w:r>
          </w:p>
        </w:tc>
        <w:tc>
          <w:tcPr>
            <w:tcW w:w="1810" w:type="dxa"/>
          </w:tcPr>
          <w:p w14:paraId="64136D94">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483D55D1">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35884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DF2946D">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2-1</w:t>
            </w:r>
          </w:p>
        </w:tc>
        <w:tc>
          <w:tcPr>
            <w:tcW w:w="4409" w:type="dxa"/>
          </w:tcPr>
          <w:p w14:paraId="2ABB9A56">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化学源安全柜</w:t>
            </w:r>
          </w:p>
        </w:tc>
        <w:tc>
          <w:tcPr>
            <w:tcW w:w="1810" w:type="dxa"/>
          </w:tcPr>
          <w:p w14:paraId="4684AF12">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4</w:t>
            </w:r>
          </w:p>
        </w:tc>
        <w:tc>
          <w:tcPr>
            <w:tcW w:w="1570" w:type="dxa"/>
          </w:tcPr>
          <w:p w14:paraId="641DAD8B">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1FA5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333CD46D">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2-2</w:t>
            </w:r>
          </w:p>
        </w:tc>
        <w:tc>
          <w:tcPr>
            <w:tcW w:w="4409" w:type="dxa"/>
          </w:tcPr>
          <w:p w14:paraId="304DA59D">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定制电源和电控箱</w:t>
            </w:r>
          </w:p>
        </w:tc>
        <w:tc>
          <w:tcPr>
            <w:tcW w:w="1810" w:type="dxa"/>
          </w:tcPr>
          <w:p w14:paraId="0F1F2E64">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41D92BE6">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373EC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59D4066">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3</w:t>
            </w:r>
          </w:p>
        </w:tc>
        <w:tc>
          <w:tcPr>
            <w:tcW w:w="4409" w:type="dxa"/>
          </w:tcPr>
          <w:p w14:paraId="5B098953">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12</w:t>
            </w:r>
            <w:r>
              <w:rPr>
                <w:rFonts w:hint="eastAsia" w:ascii="Times New Roman" w:hAnsi="Times New Roman" w:eastAsia="宋体" w:cs="Times New Roman"/>
                <w:color w:val="000000" w:themeColor="text1"/>
                <w:kern w:val="0"/>
                <w:sz w:val="24"/>
                <w:szCs w:val="24"/>
                <w14:textFill>
                  <w14:solidFill>
                    <w14:schemeClr w14:val="tx1"/>
                  </w14:solidFill>
                </w14:textFill>
              </w:rPr>
              <w:t>英寸晶圆等离子体</w:t>
            </w:r>
            <w:r>
              <w:rPr>
                <w:rFonts w:ascii="Times New Roman" w:hAnsi="Times New Roman" w:eastAsia="宋体" w:cs="Times New Roman"/>
                <w:color w:val="000000" w:themeColor="text1"/>
                <w:kern w:val="0"/>
                <w:sz w:val="24"/>
                <w:szCs w:val="24"/>
                <w14:textFill>
                  <w14:solidFill>
                    <w14:schemeClr w14:val="tx1"/>
                  </w14:solidFill>
                </w14:textFill>
              </w:rPr>
              <w:t>ALD</w:t>
            </w:r>
            <w:r>
              <w:rPr>
                <w:rFonts w:hint="eastAsia" w:ascii="Times New Roman" w:hAnsi="Times New Roman" w:eastAsia="宋体" w:cs="Times New Roman"/>
                <w:color w:val="000000" w:themeColor="text1"/>
                <w:kern w:val="0"/>
                <w:sz w:val="24"/>
                <w:szCs w:val="24"/>
                <w14:textFill>
                  <w14:solidFill>
                    <w14:schemeClr w14:val="tx1"/>
                  </w14:solidFill>
                </w14:textFill>
              </w:rPr>
              <w:t>工艺系统</w:t>
            </w:r>
          </w:p>
        </w:tc>
        <w:tc>
          <w:tcPr>
            <w:tcW w:w="1810" w:type="dxa"/>
          </w:tcPr>
          <w:p w14:paraId="078773CC">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69EB3803">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5138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00665F9">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3-1</w:t>
            </w:r>
          </w:p>
        </w:tc>
        <w:tc>
          <w:tcPr>
            <w:tcW w:w="4409" w:type="dxa"/>
          </w:tcPr>
          <w:p w14:paraId="5D08FB3C">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气体输送系统</w:t>
            </w:r>
          </w:p>
        </w:tc>
        <w:tc>
          <w:tcPr>
            <w:tcW w:w="1810" w:type="dxa"/>
          </w:tcPr>
          <w:p w14:paraId="3BF3C5C4">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3B961B99">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0FF4D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C25A326">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3-2</w:t>
            </w:r>
          </w:p>
        </w:tc>
        <w:tc>
          <w:tcPr>
            <w:tcW w:w="4409" w:type="dxa"/>
          </w:tcPr>
          <w:p w14:paraId="1E6E9451">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化学源安全柜</w:t>
            </w:r>
          </w:p>
        </w:tc>
        <w:tc>
          <w:tcPr>
            <w:tcW w:w="1810" w:type="dxa"/>
          </w:tcPr>
          <w:p w14:paraId="6EE46201">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2</w:t>
            </w:r>
          </w:p>
        </w:tc>
        <w:tc>
          <w:tcPr>
            <w:tcW w:w="1570" w:type="dxa"/>
          </w:tcPr>
          <w:p w14:paraId="7DEFEA55">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422C3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10177AF0">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3-3</w:t>
            </w:r>
          </w:p>
        </w:tc>
        <w:tc>
          <w:tcPr>
            <w:tcW w:w="4409" w:type="dxa"/>
          </w:tcPr>
          <w:p w14:paraId="55B5F0CB">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定制电源和电控箱</w:t>
            </w:r>
          </w:p>
        </w:tc>
        <w:tc>
          <w:tcPr>
            <w:tcW w:w="1810" w:type="dxa"/>
          </w:tcPr>
          <w:p w14:paraId="75272E38">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588A6093">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2D409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E1FF65A">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3-4</w:t>
            </w:r>
          </w:p>
        </w:tc>
        <w:tc>
          <w:tcPr>
            <w:tcW w:w="4409" w:type="dxa"/>
          </w:tcPr>
          <w:p w14:paraId="6B2E4CE5">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等离子体发生器系统</w:t>
            </w:r>
          </w:p>
        </w:tc>
        <w:tc>
          <w:tcPr>
            <w:tcW w:w="1810" w:type="dxa"/>
          </w:tcPr>
          <w:p w14:paraId="59F41FE9">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76B29747">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1F07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0A92181">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3-5</w:t>
            </w:r>
          </w:p>
        </w:tc>
        <w:tc>
          <w:tcPr>
            <w:tcW w:w="4409" w:type="dxa"/>
          </w:tcPr>
          <w:p w14:paraId="73A662B5">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内腔备用替换部件</w:t>
            </w:r>
          </w:p>
        </w:tc>
        <w:tc>
          <w:tcPr>
            <w:tcW w:w="1810" w:type="dxa"/>
          </w:tcPr>
          <w:p w14:paraId="4B0C816D">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43C00365">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套</w:t>
            </w:r>
          </w:p>
        </w:tc>
      </w:tr>
      <w:tr w14:paraId="7993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C29CF5F">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4409" w:type="dxa"/>
          </w:tcPr>
          <w:p w14:paraId="1C79DB16">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真空装置系统</w:t>
            </w:r>
          </w:p>
        </w:tc>
        <w:tc>
          <w:tcPr>
            <w:tcW w:w="1810" w:type="dxa"/>
          </w:tcPr>
          <w:p w14:paraId="07DB46C8">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3D366660">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0627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9" w:hRule="atLeast"/>
        </w:trPr>
        <w:tc>
          <w:tcPr>
            <w:tcW w:w="1408" w:type="dxa"/>
          </w:tcPr>
          <w:p w14:paraId="457FD1D4">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4-1</w:t>
            </w:r>
          </w:p>
        </w:tc>
        <w:tc>
          <w:tcPr>
            <w:tcW w:w="4409" w:type="dxa"/>
          </w:tcPr>
          <w:p w14:paraId="36D230EC">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传送腔干泵</w:t>
            </w:r>
          </w:p>
        </w:tc>
        <w:tc>
          <w:tcPr>
            <w:tcW w:w="1810" w:type="dxa"/>
          </w:tcPr>
          <w:p w14:paraId="1930FF9D">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36BE5CA5">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6879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CAD3C22">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4-2</w:t>
            </w:r>
          </w:p>
        </w:tc>
        <w:tc>
          <w:tcPr>
            <w:tcW w:w="4409" w:type="dxa"/>
          </w:tcPr>
          <w:p w14:paraId="606F22E8">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热</w:t>
            </w:r>
            <w:r>
              <w:rPr>
                <w:rFonts w:ascii="Times New Roman" w:hAnsi="Times New Roman" w:eastAsia="宋体" w:cs="Times New Roman"/>
                <w:color w:val="000000" w:themeColor="text1"/>
                <w:kern w:val="0"/>
                <w:sz w:val="24"/>
                <w:szCs w:val="24"/>
                <w14:textFill>
                  <w14:solidFill>
                    <w14:schemeClr w14:val="tx1"/>
                  </w14:solidFill>
                </w14:textFill>
              </w:rPr>
              <w:t>ALD</w:t>
            </w:r>
            <w:r>
              <w:rPr>
                <w:rFonts w:hint="eastAsia" w:ascii="Times New Roman" w:hAnsi="Times New Roman" w:eastAsia="宋体" w:cs="Times New Roman"/>
                <w:color w:val="000000" w:themeColor="text1"/>
                <w:kern w:val="0"/>
                <w:sz w:val="24"/>
                <w:szCs w:val="24"/>
                <w14:textFill>
                  <w14:solidFill>
                    <w14:schemeClr w14:val="tx1"/>
                  </w14:solidFill>
                </w14:textFill>
              </w:rPr>
              <w:t>腔干泵</w:t>
            </w:r>
          </w:p>
        </w:tc>
        <w:tc>
          <w:tcPr>
            <w:tcW w:w="1810" w:type="dxa"/>
          </w:tcPr>
          <w:p w14:paraId="54B9F1B6">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042704C9">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2B938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5CB4D5E">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4-3</w:t>
            </w:r>
          </w:p>
        </w:tc>
        <w:tc>
          <w:tcPr>
            <w:tcW w:w="4409" w:type="dxa"/>
          </w:tcPr>
          <w:p w14:paraId="3935E82C">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等离子体</w:t>
            </w:r>
            <w:r>
              <w:rPr>
                <w:rFonts w:ascii="Times New Roman" w:hAnsi="Times New Roman" w:eastAsia="宋体" w:cs="Times New Roman"/>
                <w:color w:val="000000" w:themeColor="text1"/>
                <w:kern w:val="0"/>
                <w:sz w:val="24"/>
                <w:szCs w:val="24"/>
                <w14:textFill>
                  <w14:solidFill>
                    <w14:schemeClr w14:val="tx1"/>
                  </w14:solidFill>
                </w14:textFill>
              </w:rPr>
              <w:t>ALD</w:t>
            </w:r>
            <w:r>
              <w:rPr>
                <w:rFonts w:hint="eastAsia" w:ascii="Times New Roman" w:hAnsi="Times New Roman" w:eastAsia="宋体" w:cs="Times New Roman"/>
                <w:color w:val="000000" w:themeColor="text1"/>
                <w:kern w:val="0"/>
                <w:sz w:val="24"/>
                <w:szCs w:val="24"/>
                <w14:textFill>
                  <w14:solidFill>
                    <w14:schemeClr w14:val="tx1"/>
                  </w14:solidFill>
                </w14:textFill>
              </w:rPr>
              <w:t>干泵</w:t>
            </w:r>
          </w:p>
        </w:tc>
        <w:tc>
          <w:tcPr>
            <w:tcW w:w="1810" w:type="dxa"/>
          </w:tcPr>
          <w:p w14:paraId="5463508F">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08D0A5E4">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台</w:t>
            </w:r>
          </w:p>
        </w:tc>
      </w:tr>
      <w:tr w14:paraId="1460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2E4431D3">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4-4</w:t>
            </w:r>
          </w:p>
        </w:tc>
        <w:tc>
          <w:tcPr>
            <w:tcW w:w="4409" w:type="dxa"/>
          </w:tcPr>
          <w:p w14:paraId="418648BE">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内腔备用替换部件</w:t>
            </w:r>
          </w:p>
        </w:tc>
        <w:tc>
          <w:tcPr>
            <w:tcW w:w="1810" w:type="dxa"/>
          </w:tcPr>
          <w:p w14:paraId="16C8F0A1">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5D2336BD">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套</w:t>
            </w:r>
          </w:p>
        </w:tc>
      </w:tr>
      <w:tr w14:paraId="2C69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1889DC5">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w:t>
            </w:r>
          </w:p>
        </w:tc>
        <w:tc>
          <w:tcPr>
            <w:tcW w:w="4409" w:type="dxa"/>
          </w:tcPr>
          <w:p w14:paraId="494DC79D">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随机文件</w:t>
            </w:r>
          </w:p>
        </w:tc>
        <w:tc>
          <w:tcPr>
            <w:tcW w:w="1810" w:type="dxa"/>
          </w:tcPr>
          <w:p w14:paraId="230B77DE">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p>
        </w:tc>
        <w:tc>
          <w:tcPr>
            <w:tcW w:w="1570" w:type="dxa"/>
          </w:tcPr>
          <w:p w14:paraId="186E4ADB">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p>
        </w:tc>
      </w:tr>
      <w:tr w14:paraId="4963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8DBC581">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5-1</w:t>
            </w:r>
          </w:p>
        </w:tc>
        <w:tc>
          <w:tcPr>
            <w:tcW w:w="4409" w:type="dxa"/>
          </w:tcPr>
          <w:p w14:paraId="288CB652">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操作手册（纸质及电子版）</w:t>
            </w:r>
          </w:p>
        </w:tc>
        <w:tc>
          <w:tcPr>
            <w:tcW w:w="1810" w:type="dxa"/>
          </w:tcPr>
          <w:p w14:paraId="483BEE74">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2</w:t>
            </w:r>
          </w:p>
        </w:tc>
        <w:tc>
          <w:tcPr>
            <w:tcW w:w="1570" w:type="dxa"/>
          </w:tcPr>
          <w:p w14:paraId="32DD9FC7">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套</w:t>
            </w:r>
          </w:p>
        </w:tc>
      </w:tr>
      <w:tr w14:paraId="74B0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6CF77A66">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5-2</w:t>
            </w:r>
          </w:p>
        </w:tc>
        <w:tc>
          <w:tcPr>
            <w:tcW w:w="4409" w:type="dxa"/>
          </w:tcPr>
          <w:p w14:paraId="69C2E751">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出厂检测报告</w:t>
            </w:r>
          </w:p>
        </w:tc>
        <w:tc>
          <w:tcPr>
            <w:tcW w:w="1810" w:type="dxa"/>
          </w:tcPr>
          <w:p w14:paraId="308C7C8E">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2DD4395C">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套</w:t>
            </w:r>
          </w:p>
        </w:tc>
      </w:tr>
      <w:tr w14:paraId="2F73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5EC1B1B">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5-3</w:t>
            </w:r>
          </w:p>
        </w:tc>
        <w:tc>
          <w:tcPr>
            <w:tcW w:w="4409" w:type="dxa"/>
          </w:tcPr>
          <w:p w14:paraId="2F00F891">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软件授权使用书</w:t>
            </w:r>
          </w:p>
        </w:tc>
        <w:tc>
          <w:tcPr>
            <w:tcW w:w="1810" w:type="dxa"/>
          </w:tcPr>
          <w:p w14:paraId="0B89995A">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0A2DE485">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套</w:t>
            </w:r>
          </w:p>
        </w:tc>
      </w:tr>
      <w:tr w14:paraId="3518E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55615D5C">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5-4</w:t>
            </w:r>
          </w:p>
        </w:tc>
        <w:tc>
          <w:tcPr>
            <w:tcW w:w="4409" w:type="dxa"/>
          </w:tcPr>
          <w:p w14:paraId="2D2D8B61">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合格证</w:t>
            </w:r>
          </w:p>
        </w:tc>
        <w:tc>
          <w:tcPr>
            <w:tcW w:w="1810" w:type="dxa"/>
          </w:tcPr>
          <w:p w14:paraId="5F8024A8">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24AD2A8E">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套</w:t>
            </w:r>
          </w:p>
        </w:tc>
      </w:tr>
      <w:tr w14:paraId="46AF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Pr>
          <w:p w14:paraId="0FF4AD7F">
            <w:pPr>
              <w:widowControl/>
              <w:snapToGrid w:val="0"/>
              <w:spacing w:before="156" w:beforeLines="50"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6</w:t>
            </w:r>
          </w:p>
        </w:tc>
        <w:tc>
          <w:tcPr>
            <w:tcW w:w="4409" w:type="dxa"/>
          </w:tcPr>
          <w:p w14:paraId="5638888D">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随机</w:t>
            </w:r>
            <w:r>
              <w:rPr>
                <w:rFonts w:hint="eastAsia" w:ascii="Times New Roman" w:hAnsi="Times New Roman" w:eastAsia="宋体" w:cs="Times New Roman"/>
                <w:color w:val="000000" w:themeColor="text1"/>
                <w:sz w:val="24"/>
                <w:szCs w:val="24"/>
                <w14:textFill>
                  <w14:solidFill>
                    <w14:schemeClr w14:val="tx1"/>
                  </w14:solidFill>
                </w14:textFill>
              </w:rPr>
              <w:t>安装调试工具一套</w:t>
            </w:r>
          </w:p>
        </w:tc>
        <w:tc>
          <w:tcPr>
            <w:tcW w:w="1810" w:type="dxa"/>
          </w:tcPr>
          <w:p w14:paraId="4CC87986">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1</w:t>
            </w:r>
          </w:p>
        </w:tc>
        <w:tc>
          <w:tcPr>
            <w:tcW w:w="1570" w:type="dxa"/>
          </w:tcPr>
          <w:p w14:paraId="679D7B28">
            <w:pPr>
              <w:widowControl/>
              <w:snapToGrid w:val="0"/>
              <w:spacing w:before="156" w:beforeLines="50" w:line="360" w:lineRule="auto"/>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套</w:t>
            </w:r>
          </w:p>
        </w:tc>
      </w:tr>
    </w:tbl>
    <w:p w14:paraId="21E6862F">
      <w:pPr>
        <w:widowControl/>
        <w:snapToGrid w:val="0"/>
        <w:spacing w:before="468" w:beforeLines="150" w:line="360" w:lineRule="auto"/>
        <w:ind w:firstLine="420"/>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b/>
          <w:color w:val="000000" w:themeColor="text1"/>
          <w:sz w:val="24"/>
          <w:szCs w:val="24"/>
          <w14:textFill>
            <w14:solidFill>
              <w14:schemeClr w14:val="tx1"/>
            </w14:solidFill>
          </w14:textFill>
        </w:rPr>
        <w:t>技术要求及参数：</w:t>
      </w:r>
    </w:p>
    <w:p w14:paraId="34EF883E">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hint="eastAsia" w:ascii="Times New Roman" w:hAnsi="Times New Roman" w:eastAsia="宋体" w:cs="Times New Roman"/>
          <w:bCs/>
          <w:color w:val="000000" w:themeColor="text1"/>
          <w:sz w:val="24"/>
          <w:szCs w:val="24"/>
          <w14:textFill>
            <w14:solidFill>
              <w14:schemeClr w14:val="tx1"/>
            </w14:solidFill>
          </w14:textFill>
        </w:rPr>
        <w:t>详细见：技术性能指标表。</w:t>
      </w:r>
    </w:p>
    <w:p w14:paraId="2864D67E">
      <w:pPr>
        <w:widowControl/>
        <w:snapToGrid w:val="0"/>
        <w:spacing w:line="360" w:lineRule="auto"/>
        <w:ind w:firstLine="420"/>
        <w:rPr>
          <w:rFonts w:ascii="Times New Roman" w:hAnsi="Times New Roman" w:eastAsia="宋体" w:cs="Times New Roman"/>
          <w:bCs/>
          <w:color w:val="000000" w:themeColor="text1"/>
          <w:sz w:val="24"/>
          <w:szCs w:val="24"/>
          <w14:textFill>
            <w14:solidFill>
              <w14:schemeClr w14:val="tx1"/>
            </w14:solidFill>
          </w14:textFill>
        </w:rPr>
      </w:pPr>
      <w:r>
        <w:rPr>
          <w:rFonts w:hint="eastAsia" w:ascii="Times New Roman" w:hAnsi="Times New Roman" w:eastAsia="宋体" w:cs="Times New Roman"/>
          <w:bCs/>
          <w:color w:val="000000" w:themeColor="text1"/>
          <w:sz w:val="24"/>
          <w:szCs w:val="24"/>
          <w14:textFill>
            <w14:solidFill>
              <w14:schemeClr w14:val="tx1"/>
            </w14:solidFill>
          </w14:textFill>
        </w:rPr>
        <w:t>加“</w:t>
      </w:r>
      <w:r>
        <w:rPr>
          <w:rFonts w:hint="eastAsia" w:ascii="Segoe UI Symbol" w:hAnsi="Segoe UI Symbol" w:eastAsia="宋体" w:cs="Segoe UI Symbol"/>
          <w:color w:val="000000" w:themeColor="text1"/>
          <w:kern w:val="0"/>
          <w:sz w:val="24"/>
          <w:szCs w:val="24"/>
          <w:lang w:val="zh-CN"/>
          <w14:textFill>
            <w14:solidFill>
              <w14:schemeClr w14:val="tx1"/>
            </w14:solidFill>
          </w14:textFill>
        </w:rPr>
        <w:t>★</w:t>
      </w:r>
      <w:r>
        <w:rPr>
          <w:rFonts w:hint="eastAsia" w:ascii="Times New Roman" w:hAnsi="Times New Roman" w:eastAsia="宋体" w:cs="Times New Roman"/>
          <w:bCs/>
          <w:color w:val="000000" w:themeColor="text1"/>
          <w:sz w:val="24"/>
          <w:szCs w:val="24"/>
          <w14:textFill>
            <w14:solidFill>
              <w14:schemeClr w14:val="tx1"/>
            </w14:solidFill>
          </w14:textFill>
        </w:rPr>
        <w:t>”条款为必须满足的条款，不得偏离。</w:t>
      </w:r>
    </w:p>
    <w:p w14:paraId="2DB8B1EF">
      <w:pPr>
        <w:widowControl/>
        <w:snapToGrid w:val="0"/>
        <w:spacing w:before="156" w:beforeLines="50" w:after="156" w:afterLines="50" w:line="360" w:lineRule="auto"/>
        <w:rPr>
          <w:rFonts w:ascii="Times New Roman" w:hAnsi="Times New Roman" w:eastAsia="宋体" w:cs="Times New Roman"/>
          <w:b/>
          <w:bCs/>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24"/>
          <w:szCs w:val="24"/>
          <w14:textFill>
            <w14:solidFill>
              <w14:schemeClr w14:val="tx1"/>
            </w14:solidFill>
          </w14:textFill>
        </w:rPr>
        <w:t>2</w:t>
      </w:r>
      <w:r>
        <w:rPr>
          <w:rFonts w:hint="eastAsia" w:ascii="Times New Roman" w:hAnsi="Times New Roman" w:eastAsia="宋体" w:cs="Times New Roman"/>
          <w:b/>
          <w:bCs/>
          <w:color w:val="000000" w:themeColor="text1"/>
          <w:sz w:val="24"/>
          <w:szCs w:val="24"/>
          <w14:textFill>
            <w14:solidFill>
              <w14:schemeClr w14:val="tx1"/>
            </w14:solidFill>
          </w14:textFill>
        </w:rPr>
        <w:t>、技术性能指标表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8"/>
        <w:gridCol w:w="1051"/>
        <w:gridCol w:w="749"/>
        <w:gridCol w:w="7130"/>
      </w:tblGrid>
      <w:tr w14:paraId="0329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8" w:type="dxa"/>
            <w:vAlign w:val="center"/>
          </w:tcPr>
          <w:p w14:paraId="25FF38F7">
            <w:pPr>
              <w:widowControl/>
              <w:spacing w:line="360" w:lineRule="auto"/>
              <w:jc w:val="center"/>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b/>
                <w:color w:val="000000" w:themeColor="text1"/>
                <w:sz w:val="24"/>
                <w:szCs w:val="24"/>
                <w14:textFill>
                  <w14:solidFill>
                    <w14:schemeClr w14:val="tx1"/>
                  </w14:solidFill>
                </w14:textFill>
              </w:rPr>
              <w:t>编号</w:t>
            </w:r>
          </w:p>
        </w:tc>
        <w:tc>
          <w:tcPr>
            <w:tcW w:w="1051" w:type="dxa"/>
            <w:vAlign w:val="center"/>
          </w:tcPr>
          <w:p w14:paraId="4F910AA7">
            <w:pPr>
              <w:widowControl/>
              <w:spacing w:line="360" w:lineRule="auto"/>
              <w:jc w:val="center"/>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b/>
                <w:color w:val="000000" w:themeColor="text1"/>
                <w:sz w:val="24"/>
                <w:szCs w:val="24"/>
                <w14:textFill>
                  <w14:solidFill>
                    <w14:schemeClr w14:val="tx1"/>
                  </w14:solidFill>
                </w14:textFill>
              </w:rPr>
              <w:t>招标技术指标名称</w:t>
            </w:r>
          </w:p>
        </w:tc>
        <w:tc>
          <w:tcPr>
            <w:tcW w:w="7879" w:type="dxa"/>
            <w:gridSpan w:val="2"/>
            <w:vAlign w:val="center"/>
          </w:tcPr>
          <w:p w14:paraId="78612DBE">
            <w:pPr>
              <w:widowControl/>
              <w:spacing w:line="360" w:lineRule="auto"/>
              <w:jc w:val="center"/>
              <w:rPr>
                <w:rFonts w:ascii="Times New Roman" w:hAnsi="Times New Roman" w:eastAsia="宋体" w:cs="Times New Roman"/>
                <w:b/>
                <w:color w:val="000000" w:themeColor="text1"/>
                <w:sz w:val="24"/>
                <w:szCs w:val="24"/>
                <w14:textFill>
                  <w14:solidFill>
                    <w14:schemeClr w14:val="tx1"/>
                  </w14:solidFill>
                </w14:textFill>
              </w:rPr>
            </w:pPr>
            <w:r>
              <w:rPr>
                <w:rFonts w:hint="eastAsia" w:ascii="Times New Roman" w:hAnsi="Times New Roman" w:eastAsia="宋体" w:cs="Times New Roman"/>
                <w:b/>
                <w:color w:val="000000" w:themeColor="text1"/>
                <w:sz w:val="24"/>
                <w:szCs w:val="24"/>
                <w14:textFill>
                  <w14:solidFill>
                    <w14:schemeClr w14:val="tx1"/>
                  </w14:solidFill>
                </w14:textFill>
              </w:rPr>
              <w:t>招标技术指标值</w:t>
            </w:r>
          </w:p>
        </w:tc>
      </w:tr>
      <w:tr w14:paraId="1D9F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8" w:type="dxa"/>
            <w:vAlign w:val="center"/>
          </w:tcPr>
          <w:p w14:paraId="34ABDC79">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1</w:t>
            </w:r>
          </w:p>
        </w:tc>
        <w:tc>
          <w:tcPr>
            <w:tcW w:w="1051" w:type="dxa"/>
            <w:vAlign w:val="center"/>
          </w:tcPr>
          <w:p w14:paraId="73FB5C8D">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应用范围和要求</w:t>
            </w:r>
          </w:p>
        </w:tc>
        <w:tc>
          <w:tcPr>
            <w:tcW w:w="7879" w:type="dxa"/>
            <w:gridSpan w:val="2"/>
            <w:vAlign w:val="center"/>
          </w:tcPr>
          <w:p w14:paraId="70D6AF88">
            <w:pPr>
              <w:spacing w:line="360" w:lineRule="auto"/>
              <w:ind w:left="105" w:leftChars="5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系统包括</w:t>
            </w:r>
            <w:r>
              <w:rPr>
                <w:rFonts w:ascii="Times New Roman" w:hAnsi="Times New Roman" w:eastAsia="宋体" w:cs="Times New Roman"/>
                <w:color w:val="000000" w:themeColor="text1"/>
                <w:sz w:val="24"/>
                <w:szCs w:val="24"/>
                <w14:textFill>
                  <w14:solidFill>
                    <w14:schemeClr w14:val="tx1"/>
                  </w14:solidFill>
                </w14:textFill>
              </w:rPr>
              <w:t>Load Lock</w:t>
            </w:r>
            <w:r>
              <w:rPr>
                <w:rFonts w:hint="eastAsia" w:ascii="Times New Roman" w:hAnsi="Times New Roman" w:eastAsia="宋体" w:cs="Times New Roman"/>
                <w:color w:val="000000" w:themeColor="text1"/>
                <w:sz w:val="24"/>
                <w:szCs w:val="24"/>
                <w14:textFill>
                  <w14:solidFill>
                    <w14:schemeClr w14:val="tx1"/>
                  </w14:solidFill>
                </w14:textFill>
              </w:rPr>
              <w:t>晶圆装载室、自动传输装置、热</w:t>
            </w:r>
            <w:r>
              <w:rPr>
                <w:rFonts w:ascii="Times New Roman" w:hAnsi="Times New Roman" w:eastAsia="宋体" w:cs="Times New Roman"/>
                <w:color w:val="000000" w:themeColor="text1"/>
                <w:sz w:val="24"/>
                <w:szCs w:val="24"/>
                <w14:textFill>
                  <w14:solidFill>
                    <w14:schemeClr w14:val="tx1"/>
                  </w14:solidFill>
                </w14:textFill>
              </w:rPr>
              <w:t>ALD</w:t>
            </w:r>
            <w:r>
              <w:rPr>
                <w:rFonts w:hint="eastAsia" w:ascii="Times New Roman" w:hAnsi="Times New Roman" w:eastAsia="宋体" w:cs="Times New Roman"/>
                <w:color w:val="000000" w:themeColor="text1"/>
                <w:sz w:val="24"/>
                <w:szCs w:val="24"/>
                <w14:textFill>
                  <w14:solidFill>
                    <w14:schemeClr w14:val="tx1"/>
                  </w14:solidFill>
                </w14:textFill>
              </w:rPr>
              <w:t>反应腔、等离子体</w:t>
            </w:r>
            <w:r>
              <w:rPr>
                <w:rFonts w:ascii="Times New Roman" w:hAnsi="Times New Roman" w:eastAsia="宋体" w:cs="Times New Roman"/>
                <w:color w:val="000000" w:themeColor="text1"/>
                <w:sz w:val="24"/>
                <w:szCs w:val="24"/>
                <w14:textFill>
                  <w14:solidFill>
                    <w14:schemeClr w14:val="tx1"/>
                  </w14:solidFill>
                </w14:textFill>
              </w:rPr>
              <w:t>ALD</w:t>
            </w:r>
            <w:r>
              <w:rPr>
                <w:rFonts w:hint="eastAsia" w:ascii="Times New Roman" w:hAnsi="Times New Roman" w:eastAsia="宋体" w:cs="Times New Roman"/>
                <w:color w:val="000000" w:themeColor="text1"/>
                <w:sz w:val="24"/>
                <w:szCs w:val="24"/>
                <w14:textFill>
                  <w14:solidFill>
                    <w14:schemeClr w14:val="tx1"/>
                  </w14:solidFill>
                </w14:textFill>
              </w:rPr>
              <w:t>反应腔、干泵抽真空系统、装载室、传输腔等，均可装载</w:t>
            </w:r>
            <w:r>
              <w:rPr>
                <w:rFonts w:ascii="Times New Roman" w:hAnsi="Times New Roman" w:eastAsia="宋体" w:cs="Times New Roman"/>
                <w:color w:val="000000" w:themeColor="text1"/>
                <w:sz w:val="24"/>
                <w:szCs w:val="24"/>
                <w14:textFill>
                  <w14:solidFill>
                    <w14:schemeClr w14:val="tx1"/>
                  </w14:solidFill>
                </w14:textFill>
              </w:rPr>
              <w:t>12</w:t>
            </w:r>
            <w:r>
              <w:rPr>
                <w:rFonts w:hint="eastAsia" w:ascii="Times New Roman" w:hAnsi="Times New Roman" w:eastAsia="宋体" w:cs="Times New Roman"/>
                <w:color w:val="000000" w:themeColor="text1"/>
                <w:sz w:val="24"/>
                <w:szCs w:val="24"/>
                <w14:textFill>
                  <w14:solidFill>
                    <w14:schemeClr w14:val="tx1"/>
                  </w14:solidFill>
                </w14:textFill>
              </w:rPr>
              <w:t>英寸的硅晶圆片。</w:t>
            </w:r>
          </w:p>
        </w:tc>
      </w:tr>
      <w:tr w14:paraId="155E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restart"/>
            <w:vAlign w:val="center"/>
          </w:tcPr>
          <w:p w14:paraId="1C551DC2">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w:t>
            </w:r>
          </w:p>
        </w:tc>
        <w:tc>
          <w:tcPr>
            <w:tcW w:w="1051" w:type="dxa"/>
            <w:vMerge w:val="restart"/>
            <w:vAlign w:val="center"/>
          </w:tcPr>
          <w:p w14:paraId="18660587">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功能要求</w:t>
            </w:r>
          </w:p>
        </w:tc>
        <w:tc>
          <w:tcPr>
            <w:tcW w:w="749" w:type="dxa"/>
            <w:vAlign w:val="center"/>
          </w:tcPr>
          <w:p w14:paraId="33C6DB60">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261BBB54">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设备软件具备将工艺温度、压力、气体流量等参数处理成平均值、最大值</w:t>
            </w:r>
            <w:r>
              <w:rPr>
                <w:rFonts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14:textFill>
                  <w14:solidFill>
                    <w14:schemeClr w14:val="tx1"/>
                  </w14:solidFill>
                </w14:textFill>
              </w:rPr>
              <w:t>最小值、</w:t>
            </w:r>
            <w:r>
              <w:rPr>
                <w:rFonts w:ascii="Times New Roman" w:hAnsi="Times New Roman" w:eastAsia="宋体" w:cs="Times New Roman"/>
                <w:color w:val="000000" w:themeColor="text1"/>
                <w:sz w:val="24"/>
                <w:szCs w:val="24"/>
                <w14:textFill>
                  <w14:solidFill>
                    <w14:schemeClr w14:val="tx1"/>
                  </w14:solidFill>
                </w14:textFill>
              </w:rPr>
              <w:t>3sigma</w:t>
            </w:r>
            <w:r>
              <w:rPr>
                <w:rFonts w:hint="eastAsia" w:ascii="Times New Roman" w:hAnsi="Times New Roman" w:eastAsia="宋体" w:cs="Times New Roman"/>
                <w:color w:val="000000" w:themeColor="text1"/>
                <w:sz w:val="24"/>
                <w:szCs w:val="24"/>
                <w14:textFill>
                  <w14:solidFill>
                    <w14:schemeClr w14:val="tx1"/>
                  </w14:solidFill>
                </w14:textFill>
              </w:rPr>
              <w:t>值的能力</w:t>
            </w:r>
          </w:p>
        </w:tc>
      </w:tr>
      <w:tr w14:paraId="55699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A32A969">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51F047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0F6F0E2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1E63A22F">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主电脑需具有人机界面、通讯及主要参数存储等功能，以及具备硬盘系统</w:t>
            </w:r>
          </w:p>
        </w:tc>
      </w:tr>
      <w:tr w14:paraId="173F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1644CC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98D58E4">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497A9293">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783DA098">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设备具有颜色信号指示灯</w:t>
            </w:r>
          </w:p>
        </w:tc>
      </w:tr>
      <w:tr w14:paraId="7828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8B7608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3C2F4F6">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24E9586">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vAlign w:val="center"/>
          </w:tcPr>
          <w:p w14:paraId="6FD44840">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在机械部件运动处，凡是可能伤及作业者的地方，需要有保护盖，防止手等误入而受伤</w:t>
            </w:r>
          </w:p>
        </w:tc>
      </w:tr>
      <w:tr w14:paraId="2008A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68A1E7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7E2D124">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2F74A21B">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w:t>
            </w:r>
          </w:p>
        </w:tc>
        <w:tc>
          <w:tcPr>
            <w:tcW w:w="7130" w:type="dxa"/>
            <w:vAlign w:val="center"/>
          </w:tcPr>
          <w:p w14:paraId="78CD425F">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各种电气开关、电源接头处需要有安全防护盖板，避免手或螺丝刀等误插入</w:t>
            </w:r>
          </w:p>
        </w:tc>
      </w:tr>
      <w:tr w14:paraId="3626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C57515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C749EE7">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10AC636F">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6</w:t>
            </w:r>
          </w:p>
        </w:tc>
        <w:tc>
          <w:tcPr>
            <w:tcW w:w="7130" w:type="dxa"/>
          </w:tcPr>
          <w:p w14:paraId="46568BF7">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当意外停电恢复供电后，需要有相应的装置以确保设备不能自动重新启动</w:t>
            </w:r>
          </w:p>
        </w:tc>
      </w:tr>
      <w:tr w14:paraId="29BC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759B96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3B00F1B4">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1BD3F04F">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7</w:t>
            </w:r>
          </w:p>
        </w:tc>
        <w:tc>
          <w:tcPr>
            <w:tcW w:w="7130" w:type="dxa"/>
          </w:tcPr>
          <w:p w14:paraId="0E0671A5">
            <w:pPr>
              <w:pStyle w:val="9"/>
              <w:spacing w:before="131" w:line="360" w:lineRule="auto"/>
              <w:ind w:left="10"/>
              <w:rPr>
                <w:rFonts w:ascii="Times New Roman" w:hAnsi="Times New Roman" w:cs="Times New Roman"/>
                <w:color w:val="000000" w:themeColor="text1"/>
                <w:sz w:val="24"/>
                <w:szCs w:val="24"/>
                <w:lang w:eastAsia="zh-CN"/>
                <w14:textFill>
                  <w14:solidFill>
                    <w14:schemeClr w14:val="tx1"/>
                  </w14:solidFill>
                </w14:textFill>
              </w:rPr>
            </w:pPr>
            <w:r>
              <w:rPr>
                <w:rFonts w:hint="eastAsia" w:ascii="Times New Roman" w:hAnsi="Times New Roman" w:cs="Times New Roman"/>
                <w:snapToGrid/>
                <w:color w:val="000000" w:themeColor="text1"/>
                <w:kern w:val="2"/>
                <w:sz w:val="24"/>
                <w:szCs w:val="24"/>
                <w:lang w:eastAsia="zh-CN"/>
                <w14:textFill>
                  <w14:solidFill>
                    <w14:schemeClr w14:val="tx1"/>
                  </w14:solidFill>
                </w14:textFill>
              </w:rPr>
              <w:t>设备需要配有紧急停止装置</w:t>
            </w:r>
            <w:r>
              <w:rPr>
                <w:rFonts w:ascii="Times New Roman" w:hAnsi="Times New Roman" w:cs="Times New Roman"/>
                <w:snapToGrid/>
                <w:color w:val="000000" w:themeColor="text1"/>
                <w:kern w:val="2"/>
                <w:sz w:val="24"/>
                <w:szCs w:val="24"/>
                <w:lang w:eastAsia="zh-CN"/>
                <w14:textFill>
                  <w14:solidFill>
                    <w14:schemeClr w14:val="tx1"/>
                  </w14:solidFill>
                </w14:textFill>
              </w:rPr>
              <w:t>(EMO),</w:t>
            </w:r>
            <w:r>
              <w:rPr>
                <w:rFonts w:hint="eastAsia" w:ascii="Times New Roman" w:hAnsi="Times New Roman" w:cs="Times New Roman"/>
                <w:snapToGrid/>
                <w:color w:val="000000" w:themeColor="text1"/>
                <w:kern w:val="2"/>
                <w:sz w:val="24"/>
                <w:szCs w:val="24"/>
                <w:lang w:eastAsia="zh-CN"/>
                <w14:textFill>
                  <w14:solidFill>
                    <w14:schemeClr w14:val="tx1"/>
                  </w14:solidFill>
                </w14:textFill>
              </w:rPr>
              <w:t>当被按下</w:t>
            </w:r>
            <w:r>
              <w:rPr>
                <w:rFonts w:hint="eastAsia" w:ascii="Times New Roman" w:hAnsi="Times New Roman" w:cs="Times New Roman"/>
                <w:color w:val="000000" w:themeColor="text1"/>
                <w:sz w:val="24"/>
                <w:szCs w:val="24"/>
                <w:lang w:eastAsia="zh-CN"/>
                <w14:textFill>
                  <w14:solidFill>
                    <w14:schemeClr w14:val="tx1"/>
                  </w14:solidFill>
                </w14:textFill>
              </w:rPr>
              <w:t>时，以下要求需要满足：关闭整机电源。停止硅片搬送，各部件保持原来位置</w:t>
            </w:r>
          </w:p>
        </w:tc>
      </w:tr>
      <w:tr w14:paraId="367E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B8A1C83">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7CB78C0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7F1DD63">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8</w:t>
            </w:r>
          </w:p>
        </w:tc>
        <w:tc>
          <w:tcPr>
            <w:tcW w:w="7130" w:type="dxa"/>
          </w:tcPr>
          <w:p w14:paraId="5DB5E3B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设备上需要有相应的安全互锁装置，当接收到信号时能响应动作并发出报警</w:t>
            </w:r>
          </w:p>
        </w:tc>
      </w:tr>
      <w:tr w14:paraId="4F41A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24BDE72">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554B4F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478B7A40">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9</w:t>
            </w:r>
          </w:p>
        </w:tc>
        <w:tc>
          <w:tcPr>
            <w:tcW w:w="7130" w:type="dxa"/>
          </w:tcPr>
          <w:p w14:paraId="7C56D84C">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在有可能高温烫伤、射线伤害，机械夹伤等危险源处，需要有相应的警告标签</w:t>
            </w:r>
          </w:p>
        </w:tc>
      </w:tr>
      <w:tr w14:paraId="4B0B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EA739B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3E5BBC8C">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0E10BA55">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10</w:t>
            </w:r>
          </w:p>
        </w:tc>
        <w:tc>
          <w:tcPr>
            <w:tcW w:w="7130" w:type="dxa"/>
          </w:tcPr>
          <w:p w14:paraId="089D0093">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设备配备</w:t>
            </w:r>
            <w:r>
              <w:rPr>
                <w:rFonts w:ascii="Times New Roman" w:hAnsi="Times New Roman" w:eastAsia="宋体" w:cs="Times New Roman"/>
                <w:color w:val="000000" w:themeColor="text1"/>
                <w:sz w:val="24"/>
                <w:szCs w:val="24"/>
                <w14:textFill>
                  <w14:solidFill>
                    <w14:schemeClr w14:val="tx1"/>
                  </w14:solidFill>
                </w14:textFill>
              </w:rPr>
              <w:t>1</w:t>
            </w:r>
            <w:r>
              <w:rPr>
                <w:rFonts w:hint="eastAsia" w:ascii="Times New Roman" w:hAnsi="Times New Roman" w:eastAsia="宋体" w:cs="Times New Roman"/>
                <w:color w:val="000000" w:themeColor="text1"/>
                <w:sz w:val="24"/>
                <w:szCs w:val="24"/>
                <w14:textFill>
                  <w14:solidFill>
                    <w14:schemeClr w14:val="tx1"/>
                  </w14:solidFill>
                </w14:textFill>
              </w:rPr>
              <w:t>台操作电脑</w:t>
            </w:r>
          </w:p>
        </w:tc>
      </w:tr>
      <w:tr w14:paraId="114C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restart"/>
            <w:vAlign w:val="center"/>
          </w:tcPr>
          <w:p w14:paraId="1521AD8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1051" w:type="dxa"/>
            <w:vMerge w:val="restart"/>
            <w:vAlign w:val="center"/>
          </w:tcPr>
          <w:p w14:paraId="4B837A4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反应腔配置</w:t>
            </w:r>
          </w:p>
        </w:tc>
        <w:tc>
          <w:tcPr>
            <w:tcW w:w="7879" w:type="dxa"/>
            <w:gridSpan w:val="2"/>
            <w:vAlign w:val="center"/>
          </w:tcPr>
          <w:p w14:paraId="2FDA0F72">
            <w:pPr>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1</w:t>
            </w:r>
            <w:r>
              <w:rPr>
                <w:rFonts w:hint="eastAsia" w:ascii="Times New Roman" w:hAnsi="Times New Roman" w:eastAsia="宋体" w:cs="Times New Roman"/>
                <w:b/>
                <w:color w:val="000000" w:themeColor="text1"/>
                <w:sz w:val="24"/>
                <w:szCs w:val="24"/>
                <w14:textFill>
                  <w14:solidFill>
                    <w14:schemeClr w14:val="tx1"/>
                  </w14:solidFill>
                </w14:textFill>
              </w:rPr>
              <w:t>：热</w:t>
            </w:r>
            <w:r>
              <w:rPr>
                <w:rFonts w:ascii="Times New Roman" w:hAnsi="Times New Roman" w:eastAsia="宋体" w:cs="Times New Roman"/>
                <w:b/>
                <w:color w:val="000000" w:themeColor="text1"/>
                <w:sz w:val="24"/>
                <w:szCs w:val="24"/>
                <w14:textFill>
                  <w14:solidFill>
                    <w14:schemeClr w14:val="tx1"/>
                  </w14:solidFill>
                </w14:textFill>
              </w:rPr>
              <w:t>ALD反应腔</w:t>
            </w:r>
          </w:p>
        </w:tc>
      </w:tr>
      <w:tr w14:paraId="63D2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8B514D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806076E">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0B86833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085ABCC3">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双腔体结构，反应腔体安装在真空腔体中，双重密封确保安全</w:t>
            </w:r>
          </w:p>
        </w:tc>
      </w:tr>
      <w:tr w14:paraId="5D71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220618F">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3BEAFB4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40D6D73A">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5E992695">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sz w:val="24"/>
              </w:rPr>
              <w:t>反应腔顶部、底部及腔体壁应为热壁</w:t>
            </w:r>
            <w:r>
              <w:rPr>
                <w:rFonts w:ascii="Times New Roman" w:hAnsi="Times New Roman" w:eastAsia="宋体" w:cs="Times New Roman"/>
                <w:sz w:val="24"/>
              </w:rPr>
              <w:t>,</w:t>
            </w:r>
            <w:r>
              <w:rPr>
                <w:rFonts w:hint="eastAsia" w:ascii="Times New Roman" w:hAnsi="Times New Roman" w:eastAsia="宋体" w:cs="Times New Roman"/>
                <w:sz w:val="24"/>
              </w:rPr>
              <w:t>采用分区加热方式，加热区域采用独立加热控制方式，确保无前驱体冷凝</w:t>
            </w:r>
          </w:p>
        </w:tc>
      </w:tr>
      <w:tr w14:paraId="6B64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FF0B4C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3A0525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5259365D">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58B3FE23">
            <w:pPr>
              <w:spacing w:line="360" w:lineRule="auto"/>
              <w:rPr>
                <w:rFonts w:ascii="Times New Roman" w:hAnsi="Times New Roman" w:eastAsia="宋体" w:cs="Times New Roman"/>
                <w:sz w:val="24"/>
              </w:rPr>
            </w:pPr>
            <w:r>
              <w:rPr>
                <w:rFonts w:hint="eastAsia" w:ascii="Times New Roman" w:hAnsi="Times New Roman" w:eastAsia="宋体" w:cs="Times New Roman"/>
                <w:sz w:val="24"/>
              </w:rPr>
              <w:t>腔体外壁温度始终低于</w:t>
            </w:r>
            <w:r>
              <w:rPr>
                <w:rFonts w:ascii="Times New Roman" w:hAnsi="Times New Roman" w:eastAsia="宋体" w:cs="Times New Roman"/>
                <w:sz w:val="24"/>
              </w:rPr>
              <w:t>60℃</w:t>
            </w:r>
          </w:p>
        </w:tc>
      </w:tr>
      <w:tr w14:paraId="64F3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BA0EF6D">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0457E24">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3A2FEB0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shd w:val="clear" w:color="auto" w:fill="auto"/>
            <w:vAlign w:val="center"/>
          </w:tcPr>
          <w:p w14:paraId="51F73753">
            <w:pPr>
              <w:spacing w:line="360" w:lineRule="auto"/>
              <w:rPr>
                <w:rFonts w:ascii="Times New Roman" w:hAnsi="Times New Roman" w:eastAsia="宋体" w:cs="Times New Roman"/>
                <w:sz w:val="24"/>
              </w:rPr>
            </w:pPr>
            <w:r>
              <w:rPr>
                <w:rFonts w:hint="eastAsia" w:ascii="Times New Roman" w:hAnsi="Times New Roman" w:eastAsia="宋体" w:cs="Times New Roman"/>
                <w:sz w:val="24"/>
              </w:rPr>
              <w:t>每种反应源前驱体通过独立入口与管路进入反应腔体，避免前驱体相互间的交叉污染，避免管路壁上生成薄膜</w:t>
            </w:r>
          </w:p>
        </w:tc>
      </w:tr>
      <w:tr w14:paraId="0CC91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F1105B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361D02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6B1828A1">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w:t>
            </w:r>
          </w:p>
        </w:tc>
        <w:tc>
          <w:tcPr>
            <w:tcW w:w="7130" w:type="dxa"/>
            <w:shd w:val="clear" w:color="auto" w:fill="auto"/>
            <w:vAlign w:val="center"/>
          </w:tcPr>
          <w:p w14:paraId="7B4C5E0B">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反应腔本底真空≤</w:t>
            </w:r>
            <w:r>
              <w:rPr>
                <w:rFonts w:ascii="Times New Roman" w:hAnsi="Times New Roman" w:eastAsia="宋体" w:cs="Times New Roman"/>
                <w:color w:val="000000" w:themeColor="text1"/>
                <w:sz w:val="24"/>
                <w:szCs w:val="24"/>
                <w14:textFill>
                  <w14:solidFill>
                    <w14:schemeClr w14:val="tx1"/>
                  </w14:solidFill>
                </w14:textFill>
              </w:rPr>
              <w:t>2.7Pa</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20mTorr</w:t>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4D312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7CFC71E">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D92033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62492B0E">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6</w:t>
            </w:r>
          </w:p>
        </w:tc>
        <w:tc>
          <w:tcPr>
            <w:tcW w:w="7130" w:type="dxa"/>
            <w:shd w:val="clear" w:color="auto" w:fill="auto"/>
            <w:vAlign w:val="center"/>
          </w:tcPr>
          <w:p w14:paraId="0B670832">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反应腔漏率≤</w:t>
            </w:r>
            <w:r>
              <w:rPr>
                <w:rFonts w:ascii="Times New Roman" w:hAnsi="Times New Roman" w:eastAsia="宋体" w:cs="Times New Roman"/>
                <w:color w:val="000000" w:themeColor="text1"/>
                <w:sz w:val="24"/>
                <w:szCs w:val="24"/>
                <w14:textFill>
                  <w14:solidFill>
                    <w14:schemeClr w14:val="tx1"/>
                  </w14:solidFill>
                </w14:textFill>
              </w:rPr>
              <w:t>0.27Pa/min</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2mTorr/min</w:t>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6E56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C3484CA">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5F00FE0">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5EFC0B49">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7</w:t>
            </w:r>
          </w:p>
        </w:tc>
        <w:tc>
          <w:tcPr>
            <w:tcW w:w="7130" w:type="dxa"/>
            <w:shd w:val="clear" w:color="auto" w:fill="auto"/>
            <w:vAlign w:val="center"/>
          </w:tcPr>
          <w:p w14:paraId="250B39F7">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工艺温度</w:t>
            </w:r>
            <w:r>
              <w:rPr>
                <w:rFonts w:ascii="Times New Roman" w:hAnsi="Times New Roman" w:eastAsia="宋体" w:cs="Times New Roman"/>
                <w:color w:val="000000" w:themeColor="text1"/>
                <w:sz w:val="24"/>
                <w:szCs w:val="24"/>
                <w14:textFill>
                  <w14:solidFill>
                    <w14:schemeClr w14:val="tx1"/>
                  </w14:solidFill>
                </w14:textFill>
              </w:rPr>
              <w:t>150-400℃</w:t>
            </w:r>
          </w:p>
        </w:tc>
      </w:tr>
      <w:tr w14:paraId="43A88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2A390EF">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F85D0B6">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6755B0CC">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8</w:t>
            </w:r>
          </w:p>
        </w:tc>
        <w:tc>
          <w:tcPr>
            <w:tcW w:w="7130" w:type="dxa"/>
            <w:shd w:val="clear" w:color="auto" w:fill="auto"/>
            <w:vAlign w:val="center"/>
          </w:tcPr>
          <w:p w14:paraId="591DEDA2">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控温偏差：设置温度为</w:t>
            </w:r>
            <w:r>
              <w:rPr>
                <w:rFonts w:ascii="Times New Roman" w:hAnsi="Times New Roman" w:eastAsia="宋体" w:cs="Times New Roman"/>
                <w:color w:val="000000" w:themeColor="text1"/>
                <w:sz w:val="24"/>
                <w:szCs w:val="24"/>
                <w14:textFill>
                  <w14:solidFill>
                    <w14:schemeClr w14:val="tx1"/>
                  </w14:solidFill>
                </w14:textFill>
              </w:rPr>
              <w:t>150-230</w:t>
            </w:r>
            <w:r>
              <w:rPr>
                <w:rFonts w:hint="eastAsia" w:ascii="Times New Roman" w:hAnsi="Times New Roman" w:eastAsia="宋体" w:cs="Times New Roman"/>
                <w:color w:val="000000" w:themeColor="text1"/>
                <w:sz w:val="24"/>
                <w:szCs w:val="24"/>
                <w14:textFill>
                  <w14:solidFill>
                    <w14:schemeClr w14:val="tx1"/>
                  </w14:solidFill>
                </w14:textFill>
              </w:rPr>
              <w:t>℃时控温偏差在</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1</w:t>
            </w:r>
            <w:r>
              <w:rPr>
                <w:rFonts w:hint="eastAsia" w:ascii="Times New Roman" w:hAnsi="Times New Roman" w:eastAsia="宋体" w:cs="Times New Roman"/>
                <w:color w:val="000000" w:themeColor="text1"/>
                <w:sz w:val="24"/>
                <w:szCs w:val="24"/>
                <w14:textFill>
                  <w14:solidFill>
                    <w14:schemeClr w14:val="tx1"/>
                  </w14:solidFill>
                </w14:textFill>
              </w:rPr>
              <w:t>℃以内；设置温度为</w:t>
            </w:r>
            <w:r>
              <w:rPr>
                <w:rFonts w:ascii="Times New Roman" w:hAnsi="Times New Roman" w:eastAsia="宋体" w:cs="Times New Roman"/>
                <w:color w:val="000000" w:themeColor="text1"/>
                <w:sz w:val="24"/>
                <w:szCs w:val="24"/>
                <w14:textFill>
                  <w14:solidFill>
                    <w14:schemeClr w14:val="tx1"/>
                  </w14:solidFill>
                </w14:textFill>
              </w:rPr>
              <w:t>230-320℃</w:t>
            </w:r>
            <w:r>
              <w:rPr>
                <w:rFonts w:hint="eastAsia" w:ascii="Times New Roman" w:hAnsi="Times New Roman" w:eastAsia="宋体" w:cs="Times New Roman"/>
                <w:color w:val="000000" w:themeColor="text1"/>
                <w:sz w:val="24"/>
                <w:szCs w:val="24"/>
                <w14:textFill>
                  <w14:solidFill>
                    <w14:schemeClr w14:val="tx1"/>
                  </w14:solidFill>
                </w14:textFill>
              </w:rPr>
              <w:t>时控温偏差在</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2</w:t>
            </w:r>
            <w:r>
              <w:rPr>
                <w:rFonts w:hint="eastAsia" w:ascii="Times New Roman" w:hAnsi="Times New Roman" w:eastAsia="宋体" w:cs="Times New Roman"/>
                <w:color w:val="000000" w:themeColor="text1"/>
                <w:sz w:val="24"/>
                <w:szCs w:val="24"/>
                <w14:textFill>
                  <w14:solidFill>
                    <w14:schemeClr w14:val="tx1"/>
                  </w14:solidFill>
                </w14:textFill>
              </w:rPr>
              <w:t>℃以内；设置温度为</w:t>
            </w:r>
            <w:r>
              <w:rPr>
                <w:rFonts w:ascii="Times New Roman" w:hAnsi="Times New Roman" w:eastAsia="宋体" w:cs="Times New Roman"/>
                <w:color w:val="000000" w:themeColor="text1"/>
                <w:sz w:val="24"/>
                <w:szCs w:val="24"/>
                <w14:textFill>
                  <w14:solidFill>
                    <w14:schemeClr w14:val="tx1"/>
                  </w14:solidFill>
                </w14:textFill>
              </w:rPr>
              <w:t>320-400℃</w:t>
            </w:r>
            <w:r>
              <w:rPr>
                <w:rFonts w:hint="eastAsia" w:ascii="Times New Roman" w:hAnsi="Times New Roman" w:eastAsia="宋体" w:cs="Times New Roman"/>
                <w:color w:val="000000" w:themeColor="text1"/>
                <w:sz w:val="24"/>
                <w:szCs w:val="24"/>
                <w14:textFill>
                  <w14:solidFill>
                    <w14:schemeClr w14:val="tx1"/>
                  </w14:solidFill>
                </w14:textFill>
              </w:rPr>
              <w:t>时控温偏差在</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℃以内</w:t>
            </w:r>
          </w:p>
        </w:tc>
      </w:tr>
      <w:tr w14:paraId="3B3E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2089C17">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4D818A7">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27E858F2">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9</w:t>
            </w:r>
          </w:p>
        </w:tc>
        <w:tc>
          <w:tcPr>
            <w:tcW w:w="7130" w:type="dxa"/>
            <w:shd w:val="clear" w:color="auto" w:fill="auto"/>
            <w:vAlign w:val="center"/>
          </w:tcPr>
          <w:p w14:paraId="02828ADD">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sz w:val="24"/>
              </w:rPr>
              <w:t>具备</w:t>
            </w:r>
            <w:r>
              <w:rPr>
                <w:rFonts w:ascii="Times New Roman" w:hAnsi="Times New Roman" w:eastAsia="宋体" w:cs="Times New Roman"/>
                <w:sz w:val="24"/>
              </w:rPr>
              <w:t>HfOx</w:t>
            </w:r>
            <w:r>
              <w:rPr>
                <w:rFonts w:hint="eastAsia" w:ascii="Times New Roman" w:hAnsi="Times New Roman" w:eastAsia="宋体" w:cs="Times New Roman"/>
                <w:sz w:val="24"/>
              </w:rPr>
              <w:t>、</w:t>
            </w:r>
            <w:r>
              <w:rPr>
                <w:rFonts w:ascii="Times New Roman" w:hAnsi="Times New Roman" w:eastAsia="宋体" w:cs="Times New Roman"/>
                <w:sz w:val="24"/>
              </w:rPr>
              <w:t>AlOx</w:t>
            </w:r>
            <w:r>
              <w:rPr>
                <w:rFonts w:hint="eastAsia" w:ascii="Times New Roman" w:hAnsi="Times New Roman" w:eastAsia="宋体" w:cs="Times New Roman"/>
                <w:sz w:val="24"/>
              </w:rPr>
              <w:t>、</w:t>
            </w:r>
            <w:r>
              <w:rPr>
                <w:rFonts w:ascii="Times New Roman" w:hAnsi="Times New Roman" w:eastAsia="宋体" w:cs="Times New Roman"/>
                <w:sz w:val="24"/>
              </w:rPr>
              <w:t>TiOx</w:t>
            </w:r>
            <w:r>
              <w:rPr>
                <w:rFonts w:hint="eastAsia" w:ascii="Times New Roman" w:hAnsi="Times New Roman" w:eastAsia="宋体" w:cs="Times New Roman"/>
                <w:sz w:val="24"/>
              </w:rPr>
              <w:t>、</w:t>
            </w:r>
            <w:r>
              <w:rPr>
                <w:rFonts w:ascii="Times New Roman" w:hAnsi="Times New Roman" w:eastAsia="宋体" w:cs="Times New Roman"/>
                <w:sz w:val="24"/>
              </w:rPr>
              <w:t>TiNx</w:t>
            </w:r>
            <w:r>
              <w:rPr>
                <w:rFonts w:hint="eastAsia" w:ascii="Times New Roman" w:hAnsi="Times New Roman" w:eastAsia="宋体" w:cs="Times New Roman"/>
                <w:sz w:val="24"/>
              </w:rPr>
              <w:t>工艺能力，膜厚范围可实现</w:t>
            </w:r>
            <w:r>
              <w:rPr>
                <w:rFonts w:ascii="Times New Roman" w:hAnsi="Times New Roman" w:eastAsia="宋体" w:cs="Times New Roman"/>
                <w:sz w:val="24"/>
              </w:rPr>
              <w:t>2nm-200nm</w:t>
            </w:r>
          </w:p>
        </w:tc>
      </w:tr>
      <w:tr w14:paraId="67413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3079B22">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5C439D2">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0E82771A">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10</w:t>
            </w:r>
          </w:p>
        </w:tc>
        <w:tc>
          <w:tcPr>
            <w:tcW w:w="7130" w:type="dxa"/>
            <w:shd w:val="clear" w:color="auto" w:fill="auto"/>
            <w:vAlign w:val="center"/>
          </w:tcPr>
          <w:p w14:paraId="6D7A6ECB">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配备≥</w:t>
            </w:r>
            <w:r>
              <w:rPr>
                <w:rFonts w:ascii="Times New Roman" w:hAnsi="Times New Roman" w:eastAsia="宋体" w:cs="Times New Roman"/>
                <w:color w:val="000000" w:themeColor="text1"/>
                <w:sz w:val="24"/>
                <w:szCs w:val="24"/>
                <w14:textFill>
                  <w14:solidFill>
                    <w14:schemeClr w14:val="tx1"/>
                  </w14:solidFill>
                </w14:textFill>
              </w:rPr>
              <w:t>4</w:t>
            </w:r>
            <w:r>
              <w:rPr>
                <w:rFonts w:hint="eastAsia" w:ascii="Times New Roman" w:hAnsi="Times New Roman" w:eastAsia="宋体" w:cs="Times New Roman"/>
                <w:color w:val="000000" w:themeColor="text1"/>
                <w:sz w:val="24"/>
                <w:szCs w:val="24"/>
                <w14:textFill>
                  <w14:solidFill>
                    <w14:schemeClr w14:val="tx1"/>
                  </w14:solidFill>
                </w14:textFill>
              </w:rPr>
              <w:t>路液态前驱体管路</w:t>
            </w:r>
          </w:p>
        </w:tc>
      </w:tr>
      <w:tr w14:paraId="73F5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472505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82A9B1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1F2F8A31">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11</w:t>
            </w:r>
          </w:p>
        </w:tc>
        <w:tc>
          <w:tcPr>
            <w:tcW w:w="7130" w:type="dxa"/>
            <w:shd w:val="clear" w:color="auto" w:fill="auto"/>
            <w:vAlign w:val="center"/>
          </w:tcPr>
          <w:p w14:paraId="74BF4DAF">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sz w:val="24"/>
              </w:rPr>
              <w:t>ALD</w:t>
            </w:r>
            <w:r>
              <w:rPr>
                <w:rFonts w:hint="eastAsia" w:ascii="Times New Roman" w:hAnsi="Times New Roman" w:eastAsia="宋体" w:cs="Times New Roman"/>
                <w:sz w:val="24"/>
              </w:rPr>
              <w:t>热源前驱体温控范围：</w:t>
            </w:r>
            <w:r>
              <w:rPr>
                <w:rFonts w:ascii="Times New Roman" w:hAnsi="Times New Roman" w:eastAsia="宋体" w:cs="Times New Roman"/>
                <w:sz w:val="24"/>
              </w:rPr>
              <w:t>50</w:t>
            </w:r>
            <w:r>
              <w:rPr>
                <w:rFonts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sz w:val="24"/>
              </w:rPr>
              <w:t>150℃</w:t>
            </w:r>
          </w:p>
        </w:tc>
      </w:tr>
      <w:tr w14:paraId="5894E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7074CE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1ABA26B">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5BA03CAC">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12</w:t>
            </w:r>
          </w:p>
        </w:tc>
        <w:tc>
          <w:tcPr>
            <w:tcW w:w="7130" w:type="dxa"/>
            <w:shd w:val="clear" w:color="auto" w:fill="auto"/>
            <w:vAlign w:val="center"/>
          </w:tcPr>
          <w:p w14:paraId="174F780F">
            <w:pPr>
              <w:spacing w:line="360" w:lineRule="auto"/>
              <w:rPr>
                <w:rFonts w:ascii="Times New Roman" w:hAnsi="Times New Roman" w:eastAsia="宋体" w:cs="Times New Roman"/>
                <w:sz w:val="24"/>
              </w:rPr>
            </w:pPr>
            <w:r>
              <w:rPr>
                <w:rFonts w:hint="eastAsia" w:ascii="Times New Roman" w:hAnsi="Times New Roman" w:eastAsia="宋体" w:cs="Times New Roman"/>
                <w:sz w:val="24"/>
              </w:rPr>
              <w:t>源瓶容积≥</w:t>
            </w:r>
            <w:r>
              <w:rPr>
                <w:rFonts w:ascii="Times New Roman" w:hAnsi="Times New Roman" w:eastAsia="宋体" w:cs="Times New Roman"/>
                <w:sz w:val="24"/>
              </w:rPr>
              <w:t>500ml</w:t>
            </w:r>
          </w:p>
        </w:tc>
      </w:tr>
      <w:tr w14:paraId="15A4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989220E">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1FC998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7597CEBF">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13</w:t>
            </w:r>
          </w:p>
        </w:tc>
        <w:tc>
          <w:tcPr>
            <w:tcW w:w="7130" w:type="dxa"/>
            <w:shd w:val="clear" w:color="auto" w:fill="auto"/>
            <w:vAlign w:val="center"/>
          </w:tcPr>
          <w:p w14:paraId="60C39F89">
            <w:pPr>
              <w:spacing w:line="360" w:lineRule="auto"/>
              <w:rPr>
                <w:rFonts w:ascii="Times New Roman" w:hAnsi="Times New Roman" w:eastAsia="宋体" w:cs="Times New Roman"/>
                <w:sz w:val="24"/>
              </w:rPr>
            </w:pPr>
            <w:r>
              <w:rPr>
                <w:rFonts w:hint="eastAsia" w:ascii="Times New Roman" w:hAnsi="Times New Roman" w:eastAsia="宋体" w:cs="Times New Roman"/>
                <w:sz w:val="24"/>
              </w:rPr>
              <w:t>臭氧发生器浓度≥</w:t>
            </w:r>
            <w:r>
              <w:rPr>
                <w:rFonts w:ascii="Times New Roman" w:hAnsi="Times New Roman" w:eastAsia="宋体" w:cs="Times New Roman"/>
                <w:sz w:val="24"/>
              </w:rPr>
              <w:t>12%</w:t>
            </w:r>
          </w:p>
        </w:tc>
      </w:tr>
      <w:tr w14:paraId="0A71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20BDAF3">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372E4FED">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79F129A2">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14</w:t>
            </w:r>
          </w:p>
        </w:tc>
        <w:tc>
          <w:tcPr>
            <w:tcW w:w="7130" w:type="dxa"/>
            <w:shd w:val="clear" w:color="auto" w:fill="auto"/>
            <w:vAlign w:val="center"/>
          </w:tcPr>
          <w:p w14:paraId="41FFF4FF">
            <w:pPr>
              <w:spacing w:line="360" w:lineRule="auto"/>
              <w:rPr>
                <w:rFonts w:ascii="Times New Roman" w:hAnsi="Times New Roman" w:eastAsia="宋体" w:cs="Times New Roman"/>
                <w:sz w:val="24"/>
              </w:rPr>
            </w:pPr>
            <w:r>
              <w:rPr>
                <w:rFonts w:hint="eastAsia" w:ascii="Times New Roman" w:hAnsi="Times New Roman" w:eastAsia="宋体" w:cs="Times New Roman"/>
                <w:sz w:val="24"/>
              </w:rPr>
              <w:t>配备干泵（抽速≥</w:t>
            </w:r>
            <w:r>
              <w:rPr>
                <w:rFonts w:ascii="Times New Roman" w:hAnsi="Times New Roman" w:eastAsia="宋体" w:cs="Times New Roman"/>
                <w:sz w:val="24"/>
              </w:rPr>
              <w:t>600</w:t>
            </w:r>
            <w:r>
              <w:rPr>
                <w:rFonts w:hint="eastAsia" w:ascii="Times New Roman" w:hAnsi="Times New Roman" w:eastAsia="宋体" w:cs="Times New Roman"/>
                <w:sz w:val="24"/>
              </w:rPr>
              <w:t>立方米</w:t>
            </w:r>
            <w:r>
              <w:rPr>
                <w:rFonts w:ascii="Times New Roman" w:hAnsi="Times New Roman" w:eastAsia="宋体" w:cs="Times New Roman"/>
                <w:sz w:val="24"/>
              </w:rPr>
              <w:t>/</w:t>
            </w:r>
            <w:r>
              <w:rPr>
                <w:rFonts w:hint="eastAsia" w:ascii="Times New Roman" w:hAnsi="Times New Roman" w:eastAsia="宋体" w:cs="Times New Roman"/>
                <w:sz w:val="24"/>
              </w:rPr>
              <w:t>小时），预留分子泵接口</w:t>
            </w:r>
          </w:p>
        </w:tc>
      </w:tr>
      <w:tr w14:paraId="7025F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9F0BCF3">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A9968BE">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424035C5">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15</w:t>
            </w:r>
          </w:p>
        </w:tc>
        <w:tc>
          <w:tcPr>
            <w:tcW w:w="7130" w:type="dxa"/>
            <w:shd w:val="clear" w:color="auto" w:fill="auto"/>
            <w:vAlign w:val="center"/>
          </w:tcPr>
          <w:p w14:paraId="535D0831">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sz w:val="24"/>
              </w:rPr>
              <w:t>ALD</w:t>
            </w:r>
            <w:r>
              <w:rPr>
                <w:rFonts w:hint="eastAsia" w:ascii="Times New Roman" w:hAnsi="Times New Roman" w:eastAsia="宋体" w:cs="Times New Roman"/>
                <w:sz w:val="24"/>
              </w:rPr>
              <w:t>脉冲阀，响应时间≤</w:t>
            </w:r>
            <w:r>
              <w:rPr>
                <w:rFonts w:ascii="Times New Roman" w:hAnsi="Times New Roman" w:eastAsia="宋体" w:cs="Times New Roman"/>
                <w:sz w:val="24"/>
              </w:rPr>
              <w:t>10 ms</w:t>
            </w:r>
          </w:p>
        </w:tc>
      </w:tr>
      <w:tr w14:paraId="4C6A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0CC572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7DF20A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879" w:type="dxa"/>
            <w:gridSpan w:val="2"/>
            <w:shd w:val="clear" w:color="auto" w:fill="auto"/>
            <w:vAlign w:val="center"/>
          </w:tcPr>
          <w:p w14:paraId="29D8A7D9">
            <w:pPr>
              <w:spacing w:line="360" w:lineRule="auto"/>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2</w:t>
            </w:r>
            <w:r>
              <w:rPr>
                <w:rFonts w:hint="eastAsia" w:ascii="Times New Roman" w:hAnsi="Times New Roman" w:eastAsia="宋体" w:cs="Times New Roman"/>
                <w:b/>
                <w:color w:val="000000" w:themeColor="text1"/>
                <w:sz w:val="24"/>
                <w:szCs w:val="24"/>
                <w14:textFill>
                  <w14:solidFill>
                    <w14:schemeClr w14:val="tx1"/>
                  </w14:solidFill>
                </w14:textFill>
              </w:rPr>
              <w:t>：等离子体</w:t>
            </w:r>
            <w:r>
              <w:rPr>
                <w:rFonts w:ascii="Times New Roman" w:hAnsi="Times New Roman" w:eastAsia="宋体" w:cs="Times New Roman"/>
                <w:b/>
                <w:color w:val="000000" w:themeColor="text1"/>
                <w:sz w:val="24"/>
                <w:szCs w:val="24"/>
                <w14:textFill>
                  <w14:solidFill>
                    <w14:schemeClr w14:val="tx1"/>
                  </w14:solidFill>
                </w14:textFill>
              </w:rPr>
              <w:t>ALD反应腔</w:t>
            </w:r>
          </w:p>
        </w:tc>
      </w:tr>
      <w:tr w14:paraId="358F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3260A40">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19A20B0">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0E7F480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shd w:val="clear" w:color="auto" w:fill="auto"/>
            <w:vAlign w:val="center"/>
          </w:tcPr>
          <w:p w14:paraId="5E9F330C">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sz w:val="24"/>
              </w:rPr>
              <w:t>腔体外壁</w:t>
            </w:r>
            <w:r>
              <w:rPr>
                <w:rFonts w:hint="eastAsia" w:ascii="Times New Roman" w:hAnsi="Times New Roman" w:eastAsia="宋体" w:cs="Times New Roman"/>
                <w:sz w:val="24"/>
              </w:rPr>
              <w:t>温度始终低于</w:t>
            </w:r>
            <w:r>
              <w:rPr>
                <w:rFonts w:ascii="Times New Roman" w:hAnsi="Times New Roman" w:eastAsia="宋体" w:cs="Times New Roman"/>
                <w:sz w:val="24"/>
              </w:rPr>
              <w:t>60℃</w:t>
            </w:r>
          </w:p>
        </w:tc>
      </w:tr>
      <w:tr w14:paraId="193D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4EE451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45EF94D">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66C6C828">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shd w:val="clear" w:color="auto" w:fill="auto"/>
            <w:vAlign w:val="center"/>
          </w:tcPr>
          <w:p w14:paraId="6AF08662">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sz w:val="24"/>
              </w:rPr>
              <w:t>每种反应源前驱体通过独立入口与管路进入反应腔体，避免前驱体相互间的交叉污染，避免管路壁上生成薄膜</w:t>
            </w:r>
          </w:p>
        </w:tc>
      </w:tr>
      <w:tr w14:paraId="5F8B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140EAD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287D2BF">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773968BA">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shd w:val="clear" w:color="auto" w:fill="auto"/>
            <w:vAlign w:val="center"/>
          </w:tcPr>
          <w:p w14:paraId="7FB5B35E">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反应腔本底真空≤</w:t>
            </w:r>
            <w:r>
              <w:rPr>
                <w:rFonts w:ascii="Times New Roman" w:hAnsi="Times New Roman" w:eastAsia="宋体" w:cs="Times New Roman"/>
                <w:color w:val="000000" w:themeColor="text1"/>
                <w:sz w:val="24"/>
                <w:szCs w:val="24"/>
                <w14:textFill>
                  <w14:solidFill>
                    <w14:schemeClr w14:val="tx1"/>
                  </w14:solidFill>
                </w14:textFill>
              </w:rPr>
              <w:t>2.7Pa</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20mTorr</w:t>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420F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839FA8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11A0902">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0B2AEF8E">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shd w:val="clear" w:color="auto" w:fill="auto"/>
            <w:vAlign w:val="center"/>
          </w:tcPr>
          <w:p w14:paraId="44448603">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反应腔漏率≤</w:t>
            </w:r>
            <w:r>
              <w:rPr>
                <w:rFonts w:ascii="Times New Roman" w:hAnsi="Times New Roman" w:eastAsia="宋体" w:cs="Times New Roman"/>
                <w:color w:val="000000" w:themeColor="text1"/>
                <w:sz w:val="24"/>
                <w:szCs w:val="24"/>
                <w14:textFill>
                  <w14:solidFill>
                    <w14:schemeClr w14:val="tx1"/>
                  </w14:solidFill>
                </w14:textFill>
              </w:rPr>
              <w:t>0.27Pa</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2mTorr/Min</w:t>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442E9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BFE3D4A">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A44F05C">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69EA01D3">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w:t>
            </w:r>
          </w:p>
        </w:tc>
        <w:tc>
          <w:tcPr>
            <w:tcW w:w="7130" w:type="dxa"/>
            <w:shd w:val="clear" w:color="auto" w:fill="auto"/>
            <w:vAlign w:val="center"/>
          </w:tcPr>
          <w:p w14:paraId="26D2D940">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工艺温度</w:t>
            </w:r>
            <w:r>
              <w:rPr>
                <w:rFonts w:ascii="Times New Roman" w:hAnsi="Times New Roman" w:eastAsia="宋体" w:cs="Times New Roman"/>
                <w:color w:val="000000" w:themeColor="text1"/>
                <w:sz w:val="24"/>
                <w:szCs w:val="24"/>
                <w14:textFill>
                  <w14:solidFill>
                    <w14:schemeClr w14:val="tx1"/>
                  </w14:solidFill>
                </w14:textFill>
              </w:rPr>
              <w:t>50-450℃</w:t>
            </w:r>
          </w:p>
        </w:tc>
      </w:tr>
      <w:tr w14:paraId="033D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F8B8F0B">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CF47C6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shd w:val="clear" w:color="auto" w:fill="auto"/>
            <w:vAlign w:val="center"/>
          </w:tcPr>
          <w:p w14:paraId="5A3A3B90">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Segoe UI Symbol" w:hAnsi="Segoe UI Symbol" w:eastAsia="宋体" w:cs="Segoe UI Symbol"/>
                <w:b/>
                <w:bCs/>
                <w:color w:val="000000" w:themeColor="text1"/>
                <w:kern w:val="0"/>
                <w:sz w:val="24"/>
                <w:szCs w:val="24"/>
                <w:lang w:val="zh-CN"/>
                <w14:textFill>
                  <w14:solidFill>
                    <w14:schemeClr w14:val="tx1"/>
                  </w14:solidFill>
                </w14:textFill>
              </w:rPr>
              <w:t>6</w:t>
            </w:r>
          </w:p>
        </w:tc>
        <w:tc>
          <w:tcPr>
            <w:tcW w:w="7130" w:type="dxa"/>
            <w:shd w:val="clear" w:color="auto" w:fill="auto"/>
            <w:vAlign w:val="center"/>
          </w:tcPr>
          <w:p w14:paraId="2AD52372">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控温偏差：设置温度为</w:t>
            </w:r>
            <w:r>
              <w:rPr>
                <w:rFonts w:ascii="Times New Roman" w:hAnsi="Times New Roman" w:eastAsia="宋体" w:cs="Times New Roman"/>
                <w:color w:val="000000" w:themeColor="text1"/>
                <w:sz w:val="24"/>
                <w:szCs w:val="24"/>
                <w14:textFill>
                  <w14:solidFill>
                    <w14:schemeClr w14:val="tx1"/>
                  </w14:solidFill>
                </w14:textFill>
              </w:rPr>
              <w:t>50-200℃</w:t>
            </w:r>
            <w:r>
              <w:rPr>
                <w:rFonts w:hint="eastAsia" w:ascii="Times New Roman" w:hAnsi="Times New Roman" w:eastAsia="宋体" w:cs="Times New Roman"/>
                <w:color w:val="000000" w:themeColor="text1"/>
                <w:sz w:val="24"/>
                <w:szCs w:val="24"/>
                <w14:textFill>
                  <w14:solidFill>
                    <w14:schemeClr w14:val="tx1"/>
                  </w14:solidFill>
                </w14:textFill>
              </w:rPr>
              <w:t>时控温偏差在</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1</w:t>
            </w:r>
            <w:r>
              <w:rPr>
                <w:rFonts w:hint="eastAsia" w:ascii="Times New Roman" w:hAnsi="Times New Roman" w:eastAsia="宋体" w:cs="Times New Roman"/>
                <w:color w:val="000000" w:themeColor="text1"/>
                <w:sz w:val="24"/>
                <w:szCs w:val="24"/>
                <w14:textFill>
                  <w14:solidFill>
                    <w14:schemeClr w14:val="tx1"/>
                  </w14:solidFill>
                </w14:textFill>
              </w:rPr>
              <w:t>℃以内；设置温度为</w:t>
            </w:r>
            <w:r>
              <w:rPr>
                <w:rFonts w:ascii="Times New Roman" w:hAnsi="Times New Roman" w:eastAsia="宋体" w:cs="Times New Roman"/>
                <w:color w:val="000000" w:themeColor="text1"/>
                <w:sz w:val="24"/>
                <w:szCs w:val="24"/>
                <w14:textFill>
                  <w14:solidFill>
                    <w14:schemeClr w14:val="tx1"/>
                  </w14:solidFill>
                </w14:textFill>
              </w:rPr>
              <w:t>200-320℃</w:t>
            </w:r>
            <w:r>
              <w:rPr>
                <w:rFonts w:hint="eastAsia" w:ascii="Times New Roman" w:hAnsi="Times New Roman" w:eastAsia="宋体" w:cs="Times New Roman"/>
                <w:color w:val="000000" w:themeColor="text1"/>
                <w:sz w:val="24"/>
                <w:szCs w:val="24"/>
                <w14:textFill>
                  <w14:solidFill>
                    <w14:schemeClr w14:val="tx1"/>
                  </w14:solidFill>
                </w14:textFill>
              </w:rPr>
              <w:t>时控温偏差在</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2</w:t>
            </w:r>
            <w:r>
              <w:rPr>
                <w:rFonts w:hint="eastAsia" w:ascii="Times New Roman" w:hAnsi="Times New Roman" w:eastAsia="宋体" w:cs="Times New Roman"/>
                <w:color w:val="000000" w:themeColor="text1"/>
                <w:sz w:val="24"/>
                <w:szCs w:val="24"/>
                <w14:textFill>
                  <w14:solidFill>
                    <w14:schemeClr w14:val="tx1"/>
                  </w14:solidFill>
                </w14:textFill>
              </w:rPr>
              <w:t>℃以内；设置温度为</w:t>
            </w:r>
            <w:r>
              <w:rPr>
                <w:rFonts w:ascii="Times New Roman" w:hAnsi="Times New Roman" w:eastAsia="宋体" w:cs="Times New Roman"/>
                <w:color w:val="000000" w:themeColor="text1"/>
                <w:sz w:val="24"/>
                <w:szCs w:val="24"/>
                <w14:textFill>
                  <w14:solidFill>
                    <w14:schemeClr w14:val="tx1"/>
                  </w14:solidFill>
                </w14:textFill>
              </w:rPr>
              <w:t>320-450℃</w:t>
            </w:r>
            <w:r>
              <w:rPr>
                <w:rFonts w:hint="eastAsia" w:ascii="Times New Roman" w:hAnsi="Times New Roman" w:eastAsia="宋体" w:cs="Times New Roman"/>
                <w:color w:val="000000" w:themeColor="text1"/>
                <w:sz w:val="24"/>
                <w:szCs w:val="24"/>
                <w14:textFill>
                  <w14:solidFill>
                    <w14:schemeClr w14:val="tx1"/>
                  </w14:solidFill>
                </w14:textFill>
              </w:rPr>
              <w:t>时控温偏差在</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℃以内。</w:t>
            </w:r>
          </w:p>
        </w:tc>
      </w:tr>
      <w:tr w14:paraId="23D0A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D2F0099">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9C83D0E">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51A5081E">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7</w:t>
            </w:r>
          </w:p>
        </w:tc>
        <w:tc>
          <w:tcPr>
            <w:tcW w:w="7130" w:type="dxa"/>
            <w:vAlign w:val="center"/>
          </w:tcPr>
          <w:p w14:paraId="0481044C">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采用双加热丝，陶瓷材料</w:t>
            </w:r>
          </w:p>
        </w:tc>
      </w:tr>
      <w:tr w14:paraId="5C12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ACEA73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5FC867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22EA092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8</w:t>
            </w:r>
          </w:p>
        </w:tc>
        <w:tc>
          <w:tcPr>
            <w:tcW w:w="7130" w:type="dxa"/>
            <w:vAlign w:val="center"/>
          </w:tcPr>
          <w:p w14:paraId="6793EBB3">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配备≥</w:t>
            </w:r>
            <w:r>
              <w:rPr>
                <w:rFonts w:ascii="Times New Roman" w:hAnsi="Times New Roman" w:eastAsia="宋体" w:cs="Times New Roman"/>
                <w:color w:val="000000" w:themeColor="text1"/>
                <w:sz w:val="24"/>
                <w:szCs w:val="24"/>
                <w14:textFill>
                  <w14:solidFill>
                    <w14:schemeClr w14:val="tx1"/>
                  </w14:solidFill>
                </w14:textFill>
              </w:rPr>
              <w:t>2</w:t>
            </w:r>
            <w:r>
              <w:rPr>
                <w:rFonts w:hint="eastAsia" w:ascii="Times New Roman" w:hAnsi="Times New Roman" w:eastAsia="宋体" w:cs="Times New Roman"/>
                <w:color w:val="000000" w:themeColor="text1"/>
                <w:sz w:val="24"/>
                <w:szCs w:val="24"/>
                <w14:textFill>
                  <w14:solidFill>
                    <w14:schemeClr w14:val="tx1"/>
                  </w14:solidFill>
                </w14:textFill>
              </w:rPr>
              <w:t>路液态前驱体管路</w:t>
            </w:r>
          </w:p>
        </w:tc>
      </w:tr>
      <w:tr w14:paraId="1DCD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A650B7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E9A357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958FA95">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9</w:t>
            </w:r>
          </w:p>
        </w:tc>
        <w:tc>
          <w:tcPr>
            <w:tcW w:w="7130" w:type="dxa"/>
            <w:vAlign w:val="center"/>
          </w:tcPr>
          <w:p w14:paraId="3B3F741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sz w:val="24"/>
              </w:rPr>
              <w:t>具备</w:t>
            </w:r>
            <w:r>
              <w:rPr>
                <w:rFonts w:ascii="Times New Roman" w:hAnsi="Times New Roman" w:eastAsia="宋体" w:cs="Times New Roman"/>
                <w:sz w:val="24"/>
              </w:rPr>
              <w:t>SiOx</w:t>
            </w:r>
            <w:r>
              <w:rPr>
                <w:rFonts w:hint="eastAsia" w:ascii="Times New Roman" w:hAnsi="Times New Roman" w:eastAsia="宋体" w:cs="Times New Roman"/>
                <w:sz w:val="24"/>
              </w:rPr>
              <w:t>、</w:t>
            </w:r>
            <w:r>
              <w:rPr>
                <w:rFonts w:ascii="Times New Roman" w:hAnsi="Times New Roman" w:eastAsia="宋体" w:cs="Times New Roman"/>
                <w:sz w:val="24"/>
              </w:rPr>
              <w:t>SiNx</w:t>
            </w:r>
            <w:r>
              <w:rPr>
                <w:rFonts w:hint="eastAsia" w:ascii="Times New Roman" w:hAnsi="Times New Roman" w:eastAsia="宋体" w:cs="Times New Roman"/>
                <w:sz w:val="24"/>
              </w:rPr>
              <w:t>、</w:t>
            </w:r>
            <w:r>
              <w:rPr>
                <w:rFonts w:ascii="Times New Roman" w:hAnsi="Times New Roman" w:eastAsia="宋体" w:cs="Times New Roman"/>
                <w:sz w:val="24"/>
              </w:rPr>
              <w:t>AlNx</w:t>
            </w:r>
            <w:r>
              <w:rPr>
                <w:rFonts w:hint="eastAsia" w:ascii="Times New Roman" w:hAnsi="Times New Roman" w:eastAsia="宋体" w:cs="Times New Roman"/>
                <w:sz w:val="24"/>
              </w:rPr>
              <w:t>工艺能力，膜厚范围可实现</w:t>
            </w:r>
            <w:r>
              <w:rPr>
                <w:rFonts w:ascii="Times New Roman" w:hAnsi="Times New Roman" w:eastAsia="宋体" w:cs="Times New Roman"/>
                <w:sz w:val="24"/>
              </w:rPr>
              <w:t>2nm-200nm</w:t>
            </w:r>
          </w:p>
        </w:tc>
      </w:tr>
      <w:tr w14:paraId="4A7B1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9CD333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4E3180E">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5B51B453">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10</w:t>
            </w:r>
          </w:p>
        </w:tc>
        <w:tc>
          <w:tcPr>
            <w:tcW w:w="7130" w:type="dxa"/>
            <w:vAlign w:val="center"/>
          </w:tcPr>
          <w:p w14:paraId="74E338A6">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sz w:val="24"/>
              </w:rPr>
              <w:t>ALD热源前驱体温控范围：50</w:t>
            </w:r>
            <w:r>
              <w:rPr>
                <w:rFonts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sz w:val="24"/>
              </w:rPr>
              <w:t>150℃</w:t>
            </w:r>
          </w:p>
        </w:tc>
      </w:tr>
      <w:tr w14:paraId="55A4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31DD12FA">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BA8D9FC">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7E407D6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11</w:t>
            </w:r>
          </w:p>
        </w:tc>
        <w:tc>
          <w:tcPr>
            <w:tcW w:w="7130" w:type="dxa"/>
            <w:vAlign w:val="center"/>
          </w:tcPr>
          <w:p w14:paraId="12F242B7">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sz w:val="24"/>
              </w:rPr>
              <w:t>源瓶容积≥</w:t>
            </w:r>
            <w:r>
              <w:rPr>
                <w:rFonts w:ascii="Times New Roman" w:hAnsi="Times New Roman" w:eastAsia="宋体" w:cs="Times New Roman"/>
                <w:sz w:val="24"/>
              </w:rPr>
              <w:t>500ml</w:t>
            </w:r>
          </w:p>
        </w:tc>
      </w:tr>
      <w:tr w14:paraId="6F2F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4DF79400">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E137C27">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218D27AD">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12</w:t>
            </w:r>
          </w:p>
        </w:tc>
        <w:tc>
          <w:tcPr>
            <w:tcW w:w="7130" w:type="dxa"/>
            <w:vAlign w:val="center"/>
          </w:tcPr>
          <w:p w14:paraId="0A7A2514">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工艺气体：</w:t>
            </w:r>
            <w:r>
              <w:rPr>
                <w:rFonts w:ascii="Times New Roman" w:hAnsi="Times New Roman" w:eastAsia="宋体" w:cs="Times New Roman"/>
                <w:color w:val="000000" w:themeColor="text1"/>
                <w:sz w:val="24"/>
                <w:szCs w:val="24"/>
                <w14:textFill>
                  <w14:solidFill>
                    <w14:schemeClr w14:val="tx1"/>
                  </w14:solidFill>
                </w14:textFill>
              </w:rPr>
              <w:t>0</w:t>
            </w:r>
            <w:r>
              <w:rPr>
                <w:rFonts w:ascii="Times New Roman" w:hAnsi="Times New Roman" w:eastAsia="宋体" w:cs="Times New Roman"/>
                <w:color w:val="000000" w:themeColor="text1"/>
                <w:sz w:val="24"/>
                <w:szCs w:val="24"/>
                <w:vertAlign w:val="subscript"/>
                <w14:textFill>
                  <w14:solidFill>
                    <w14:schemeClr w14:val="tx1"/>
                  </w14:solidFill>
                </w14:textFill>
              </w:rPr>
              <w:t>2</w:t>
            </w:r>
            <w:r>
              <w:rPr>
                <w:rFonts w:ascii="Times New Roman" w:hAnsi="Times New Roman" w:eastAsia="宋体" w:cs="Times New Roman"/>
                <w:color w:val="000000" w:themeColor="text1"/>
                <w:sz w:val="24"/>
                <w:szCs w:val="24"/>
                <w14:textFill>
                  <w14:solidFill>
                    <w14:schemeClr w14:val="tx1"/>
                  </w14:solidFill>
                </w14:textFill>
              </w:rPr>
              <w:t>、N</w:t>
            </w:r>
            <w:r>
              <w:rPr>
                <w:rFonts w:ascii="Times New Roman" w:hAnsi="Times New Roman" w:eastAsia="宋体" w:cs="Times New Roman"/>
                <w:color w:val="000000" w:themeColor="text1"/>
                <w:sz w:val="24"/>
                <w:szCs w:val="24"/>
                <w:vertAlign w:val="subscript"/>
                <w14:textFill>
                  <w14:solidFill>
                    <w14:schemeClr w14:val="tx1"/>
                  </w14:solidFill>
                </w14:textFill>
              </w:rPr>
              <w:t>2</w:t>
            </w:r>
            <w:r>
              <w:rPr>
                <w:rFonts w:ascii="Times New Roman" w:hAnsi="Times New Roman" w:eastAsia="宋体" w:cs="Times New Roman"/>
                <w:color w:val="000000" w:themeColor="text1"/>
                <w:sz w:val="24"/>
                <w:szCs w:val="24"/>
                <w14:textFill>
                  <w14:solidFill>
                    <w14:schemeClr w14:val="tx1"/>
                  </w14:solidFill>
                </w14:textFill>
              </w:rPr>
              <w:t>、Ar</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NH</w:t>
            </w:r>
            <w:r>
              <w:rPr>
                <w:rFonts w:ascii="Times New Roman" w:hAnsi="Times New Roman" w:eastAsia="宋体" w:cs="Times New Roman"/>
                <w:color w:val="000000" w:themeColor="text1"/>
                <w:sz w:val="24"/>
                <w:szCs w:val="24"/>
                <w:vertAlign w:val="subscript"/>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t>、DCS、He</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NF</w:t>
            </w:r>
            <w:r>
              <w:rPr>
                <w:rFonts w:ascii="Times New Roman" w:hAnsi="Times New Roman" w:eastAsia="宋体" w:cs="Times New Roman"/>
                <w:color w:val="000000" w:themeColor="text1"/>
                <w:sz w:val="24"/>
                <w:szCs w:val="24"/>
                <w:vertAlign w:val="subscript"/>
                <w14:textFill>
                  <w14:solidFill>
                    <w14:schemeClr w14:val="tx1"/>
                  </w14:solidFill>
                </w14:textFill>
              </w:rPr>
              <w:t>3</w:t>
            </w:r>
          </w:p>
        </w:tc>
      </w:tr>
      <w:tr w14:paraId="51CF2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1D3B1B05">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77F4CCE8">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04B981F">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13</w:t>
            </w:r>
          </w:p>
        </w:tc>
        <w:tc>
          <w:tcPr>
            <w:tcW w:w="7130" w:type="dxa"/>
            <w:vAlign w:val="center"/>
          </w:tcPr>
          <w:p w14:paraId="7E9FEE78">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等离子体发生器：采用电容耦合等离子体</w:t>
            </w:r>
            <w:r>
              <w:rPr>
                <w:rFonts w:ascii="Times New Roman" w:hAnsi="Times New Roman" w:eastAsia="宋体" w:cs="Times New Roman"/>
                <w:color w:val="000000" w:themeColor="text1"/>
                <w:sz w:val="24"/>
                <w:szCs w:val="24"/>
                <w14:textFill>
                  <w14:solidFill>
                    <w14:schemeClr w14:val="tx1"/>
                  </w14:solidFill>
                </w14:textFill>
              </w:rPr>
              <w:t>CCP</w:t>
            </w:r>
          </w:p>
        </w:tc>
      </w:tr>
      <w:tr w14:paraId="0348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66A1301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9CA3D54">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2364881B">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14</w:t>
            </w:r>
          </w:p>
        </w:tc>
        <w:tc>
          <w:tcPr>
            <w:tcW w:w="7130" w:type="dxa"/>
            <w:vAlign w:val="center"/>
          </w:tcPr>
          <w:p w14:paraId="539AA2F6">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lang w:val="zh-TW" w:eastAsia="zh-TW" w:bidi="zh-TW"/>
                <w14:textFill>
                  <w14:solidFill>
                    <w14:schemeClr w14:val="tx1"/>
                  </w14:solidFill>
                </w14:textFill>
              </w:rPr>
              <w:t>1</w:t>
            </w:r>
            <w:r>
              <w:rPr>
                <w:rFonts w:hint="eastAsia" w:ascii="Times New Roman" w:hAnsi="Times New Roman" w:eastAsia="宋体" w:cs="Times New Roman"/>
                <w:color w:val="000000" w:themeColor="text1"/>
                <w:sz w:val="24"/>
                <w:szCs w:val="24"/>
                <w14:textFill>
                  <w14:solidFill>
                    <w14:schemeClr w14:val="tx1"/>
                  </w14:solidFill>
                </w14:textFill>
              </w:rPr>
              <w:t>套</w:t>
            </w:r>
            <w:r>
              <w:rPr>
                <w:rFonts w:hint="eastAsia" w:ascii="Times New Roman" w:hAnsi="Times New Roman" w:eastAsia="宋体" w:cs="Times New Roman"/>
                <w:color w:val="000000" w:themeColor="text1"/>
                <w:sz w:val="24"/>
                <w:szCs w:val="24"/>
                <w:lang w:val="zh-TW" w:bidi="zh-TW"/>
                <w14:textFill>
                  <w14:solidFill>
                    <w14:schemeClr w14:val="tx1"/>
                  </w14:solidFill>
                </w14:textFill>
              </w:rPr>
              <w:t>射频</w:t>
            </w:r>
            <w:r>
              <w:rPr>
                <w:rFonts w:hint="eastAsia" w:ascii="Times New Roman" w:hAnsi="Times New Roman" w:eastAsia="宋体" w:cs="Times New Roman"/>
                <w:color w:val="000000" w:themeColor="text1"/>
                <w:sz w:val="24"/>
                <w:szCs w:val="24"/>
                <w:lang w:val="zh-TW" w:eastAsia="zh-TW" w:bidi="zh-TW"/>
                <w14:textFill>
                  <w14:solidFill>
                    <w14:schemeClr w14:val="tx1"/>
                  </w14:solidFill>
                </w14:textFill>
              </w:rPr>
              <w:t>电源</w:t>
            </w:r>
            <w:r>
              <w:rPr>
                <w:rFonts w:hint="eastAsia" w:ascii="Times New Roman" w:hAnsi="Times New Roman" w:eastAsia="宋体" w:cs="Times New Roman"/>
                <w:color w:val="000000" w:themeColor="text1"/>
                <w:sz w:val="24"/>
                <w:szCs w:val="24"/>
                <w14:textFill>
                  <w14:solidFill>
                    <w14:schemeClr w14:val="tx1"/>
                  </w14:solidFill>
                </w14:textFill>
              </w:rPr>
              <w:t>。高频射</w:t>
            </w:r>
            <w:r>
              <w:rPr>
                <w:rFonts w:hint="eastAsia" w:ascii="Times New Roman" w:hAnsi="Times New Roman" w:eastAsia="宋体" w:cs="Times New Roman"/>
                <w:sz w:val="24"/>
              </w:rPr>
              <w:t>频频率为</w:t>
            </w:r>
            <w:r>
              <w:rPr>
                <w:rFonts w:ascii="Times New Roman" w:hAnsi="Times New Roman" w:eastAsia="宋体" w:cs="Times New Roman"/>
                <w:sz w:val="24"/>
              </w:rPr>
              <w:t>13.56MHz</w:t>
            </w:r>
            <w:r>
              <w:rPr>
                <w:rFonts w:hint="eastAsia" w:ascii="Times New Roman" w:hAnsi="Times New Roman" w:eastAsia="宋体" w:cs="Times New Roman"/>
                <w:sz w:val="24"/>
              </w:rPr>
              <w:t>，功率范围包含</w:t>
            </w:r>
            <w:r>
              <w:rPr>
                <w:rFonts w:ascii="Times New Roman" w:hAnsi="Times New Roman" w:eastAsia="宋体" w:cs="Times New Roman"/>
                <w:sz w:val="24"/>
              </w:rPr>
              <w:t>0-3000W</w:t>
            </w:r>
            <w:r>
              <w:rPr>
                <w:rFonts w:hint="eastAsia" w:ascii="Times New Roman" w:hAnsi="Times New Roman" w:eastAsia="宋体" w:cs="Times New Roman"/>
                <w:sz w:val="24"/>
              </w:rPr>
              <w:t>，功率可以调节</w:t>
            </w:r>
          </w:p>
        </w:tc>
      </w:tr>
      <w:tr w14:paraId="7588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2833952A">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7DFE68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719F9F33">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15</w:t>
            </w:r>
          </w:p>
        </w:tc>
        <w:tc>
          <w:tcPr>
            <w:tcW w:w="7130" w:type="dxa"/>
            <w:vAlign w:val="center"/>
          </w:tcPr>
          <w:p w14:paraId="401F351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lang w:val="zh-TW" w:eastAsia="zh-TW" w:bidi="zh-TW"/>
                <w14:textFill>
                  <w14:solidFill>
                    <w14:schemeClr w14:val="tx1"/>
                  </w14:solidFill>
                </w14:textFill>
              </w:rPr>
              <w:t>1套</w:t>
            </w:r>
            <w:r>
              <w:rPr>
                <w:rFonts w:hint="eastAsia" w:ascii="Times New Roman" w:hAnsi="Times New Roman" w:eastAsia="宋体" w:cs="Times New Roman"/>
                <w:color w:val="000000" w:themeColor="text1"/>
                <w:sz w:val="24"/>
                <w:lang w:bidi="zh-TW"/>
                <w14:textFill>
                  <w14:solidFill>
                    <w14:schemeClr w14:val="tx1"/>
                  </w14:solidFill>
                </w14:textFill>
              </w:rPr>
              <w:t>匹配单元</w:t>
            </w:r>
            <w:r>
              <w:rPr>
                <w:rFonts w:ascii="Times New Roman" w:hAnsi="Times New Roman" w:eastAsia="宋体" w:cs="Times New Roman"/>
                <w:color w:val="000000" w:themeColor="text1"/>
                <w:sz w:val="24"/>
                <w:lang w:val="zh-TW" w:eastAsia="zh-TW" w:bidi="zh-TW"/>
                <w14:textFill>
                  <w14:solidFill>
                    <w14:schemeClr w14:val="tx1"/>
                  </w14:solidFill>
                </w14:textFill>
              </w:rPr>
              <w:t>，</w:t>
            </w:r>
            <w:r>
              <w:rPr>
                <w:rFonts w:hint="eastAsia" w:ascii="Times New Roman" w:hAnsi="Times New Roman" w:eastAsia="宋体" w:cs="Times New Roman"/>
                <w:color w:val="000000" w:themeColor="text1"/>
                <w:sz w:val="24"/>
                <w:lang w:val="zh-TW" w:eastAsia="zh-TW" w:bidi="zh-TW"/>
                <w14:textFill>
                  <w14:solidFill>
                    <w14:schemeClr w14:val="tx1"/>
                  </w14:solidFill>
                </w14:textFill>
              </w:rPr>
              <w:t>功率</w:t>
            </w:r>
            <w:r>
              <w:rPr>
                <w:rFonts w:ascii="Times New Roman" w:hAnsi="Times New Roman" w:eastAsia="宋体" w:cs="Times New Roman"/>
                <w:color w:val="000000" w:themeColor="text1"/>
                <w:sz w:val="24"/>
                <w:lang w:val="zh-TW" w:eastAsia="zh-TW" w:bidi="zh-TW"/>
                <w14:textFill>
                  <w14:solidFill>
                    <w14:schemeClr w14:val="tx1"/>
                  </w14:solidFill>
                </w14:textFill>
              </w:rPr>
              <w:t>匹配</w:t>
            </w:r>
            <w:r>
              <w:rPr>
                <w:rFonts w:hint="eastAsia" w:ascii="Times New Roman" w:hAnsi="Times New Roman" w:eastAsia="宋体" w:cs="Times New Roman"/>
                <w:color w:val="000000" w:themeColor="text1"/>
                <w:sz w:val="24"/>
                <w:lang w:val="zh-TW" w:eastAsia="zh-TW" w:bidi="zh-TW"/>
                <w14:textFill>
                  <w14:solidFill>
                    <w14:schemeClr w14:val="tx1"/>
                  </w14:solidFill>
                </w14:textFill>
              </w:rPr>
              <w:t>单元</w:t>
            </w:r>
          </w:p>
        </w:tc>
      </w:tr>
      <w:tr w14:paraId="2110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restart"/>
            <w:vAlign w:val="center"/>
          </w:tcPr>
          <w:p w14:paraId="1C2A5310">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1051" w:type="dxa"/>
            <w:vMerge w:val="restart"/>
            <w:vAlign w:val="center"/>
          </w:tcPr>
          <w:p w14:paraId="10AAD65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机台产生颗粒和污染</w:t>
            </w:r>
          </w:p>
        </w:tc>
        <w:tc>
          <w:tcPr>
            <w:tcW w:w="749" w:type="dxa"/>
            <w:vAlign w:val="center"/>
          </w:tcPr>
          <w:p w14:paraId="0F33AED5">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05FC7879">
            <w:pPr>
              <w:spacing w:line="360" w:lineRule="auto"/>
              <w:rPr>
                <w:rFonts w:ascii="Times New Roman" w:hAnsi="Times New Roman" w:eastAsia="宋体" w:cs="Times New Roman"/>
                <w:color w:val="000000" w:themeColor="text1"/>
                <w:sz w:val="24"/>
                <w:lang w:val="zh-TW" w:eastAsia="zh-TW" w:bidi="zh-TW"/>
                <w14:textFill>
                  <w14:solidFill>
                    <w14:schemeClr w14:val="tx1"/>
                  </w14:solidFill>
                </w14:textFill>
              </w:rPr>
            </w:pPr>
            <w:r>
              <w:fldChar w:fldCharType="begin"/>
            </w:r>
            <w:r>
              <w:instrText xml:space="preserve"> HYPERLINK "mailto:机械颗粒@0.2um" </w:instrText>
            </w:r>
            <w:r>
              <w:fldChar w:fldCharType="separate"/>
            </w:r>
            <w:r>
              <w:rPr>
                <w:rFonts w:hint="eastAsia" w:ascii="Times New Roman" w:hAnsi="Times New Roman" w:eastAsia="宋体" w:cs="Times New Roman"/>
                <w:color w:val="000000" w:themeColor="text1"/>
                <w:sz w:val="24"/>
                <w:szCs w:val="24"/>
                <w14:textFill>
                  <w14:solidFill>
                    <w14:schemeClr w14:val="tx1"/>
                  </w14:solidFill>
                </w14:textFill>
              </w:rPr>
              <w:t>颗粒个数</w:t>
            </w:r>
            <w:r>
              <w:rPr>
                <w:rFonts w:ascii="Times New Roman" w:hAnsi="Times New Roman" w:eastAsia="宋体" w:cs="Times New Roman"/>
                <w:color w:val="000000" w:themeColor="text1"/>
                <w:sz w:val="24"/>
                <w:szCs w:val="24"/>
                <w14:textFill>
                  <w14:solidFill>
                    <w14:schemeClr w14:val="tx1"/>
                  </w14:solidFill>
                </w14:textFill>
              </w:rPr>
              <w:t>@0.2μm</w:t>
            </w:r>
            <w:r>
              <w:rPr>
                <w:rFonts w:ascii="Times New Roman" w:hAnsi="Times New Roman" w:eastAsia="宋体" w:cs="Times New Roman"/>
                <w:color w:val="000000" w:themeColor="text1"/>
                <w:sz w:val="24"/>
                <w:szCs w:val="24"/>
                <w14:textFill>
                  <w14:solidFill>
                    <w14:schemeClr w14:val="tx1"/>
                  </w14:solidFill>
                </w14:textFill>
              </w:rPr>
              <w:fldChar w:fldCharType="end"/>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sym w:font="Symbol" w:char="F0A3"/>
            </w:r>
            <w:r>
              <w:rPr>
                <w:rFonts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eastAsia="宋体" w:cs="Times New Roman"/>
                <w:color w:val="000000" w:themeColor="text1"/>
                <w:sz w:val="24"/>
                <w:szCs w:val="24"/>
                <w14:textFill>
                  <w14:solidFill>
                    <w14:schemeClr w14:val="tx1"/>
                  </w14:solidFill>
                </w14:textFill>
              </w:rPr>
              <w:t>个（</w:t>
            </w:r>
            <w:r>
              <w:rPr>
                <w:rFonts w:ascii="Times New Roman" w:hAnsi="Times New Roman" w:eastAsia="宋体" w:cs="Times New Roman"/>
                <w:color w:val="000000" w:themeColor="text1"/>
                <w:sz w:val="24"/>
                <w:szCs w:val="24"/>
                <w14:textFill>
                  <w14:solidFill>
                    <w14:schemeClr w14:val="tx1"/>
                  </w14:solidFill>
                </w14:textFill>
              </w:rPr>
              <w:t>12英寸晶圆）</w:t>
            </w:r>
            <w:r>
              <w:rPr>
                <w:rFonts w:hint="eastAsia" w:ascii="Times New Roman" w:hAnsi="Times New Roman" w:eastAsia="宋体" w:cs="Times New Roman"/>
                <w:color w:val="000000" w:themeColor="text1"/>
                <w:sz w:val="24"/>
                <w:szCs w:val="24"/>
                <w14:textFill>
                  <w14:solidFill>
                    <w14:schemeClr w14:val="tx1"/>
                  </w14:solidFill>
                </w14:textFill>
              </w:rPr>
              <w:t>，相应数据投标人须提供</w:t>
            </w:r>
            <w:r>
              <w:rPr>
                <w:rFonts w:ascii="Times New Roman" w:hAnsi="Times New Roman" w:eastAsia="宋体" w:cs="Times New Roman"/>
                <w:color w:val="000000" w:themeColor="text1"/>
                <w:sz w:val="24"/>
                <w:szCs w:val="24"/>
                <w14:textFill>
                  <w14:solidFill>
                    <w14:schemeClr w14:val="tx1"/>
                  </w14:solidFill>
                </w14:textFill>
              </w:rPr>
              <w:t>12</w:t>
            </w:r>
            <w:r>
              <w:rPr>
                <w:rFonts w:hint="eastAsia" w:ascii="Times New Roman" w:hAnsi="Times New Roman" w:eastAsia="宋体" w:cs="Times New Roman"/>
                <w:color w:val="000000" w:themeColor="text1"/>
                <w:sz w:val="24"/>
                <w:szCs w:val="24"/>
                <w14:textFill>
                  <w14:solidFill>
                    <w14:schemeClr w14:val="tx1"/>
                  </w14:solidFill>
                </w14:textFill>
              </w:rPr>
              <w:t>英寸晶圆颗粒</w:t>
            </w:r>
            <w:r>
              <w:rPr>
                <w:rFonts w:ascii="Times New Roman" w:hAnsi="Times New Roman" w:eastAsia="宋体" w:cs="Times New Roman"/>
                <w:color w:val="000000" w:themeColor="text1"/>
                <w:sz w:val="24"/>
                <w:szCs w:val="24"/>
                <w14:textFill>
                  <w14:solidFill>
                    <w14:schemeClr w14:val="tx1"/>
                  </w14:solidFill>
                </w14:textFill>
              </w:rPr>
              <w:t>Map</w:t>
            </w:r>
            <w:r>
              <w:rPr>
                <w:rFonts w:hint="eastAsia" w:ascii="Times New Roman" w:hAnsi="Times New Roman" w:eastAsia="宋体" w:cs="Times New Roman"/>
                <w:color w:val="000000" w:themeColor="text1"/>
                <w:sz w:val="24"/>
                <w:szCs w:val="24"/>
                <w14:textFill>
                  <w14:solidFill>
                    <w14:schemeClr w14:val="tx1"/>
                  </w14:solidFill>
                </w14:textFill>
              </w:rPr>
              <w:t>图作为证明资料（证明资料需为制造商公开发布的印刷资料）</w:t>
            </w:r>
          </w:p>
        </w:tc>
      </w:tr>
      <w:tr w14:paraId="7B5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774A8F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71D8BA6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545D4E47">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32A1FABC">
            <w:pPr>
              <w:spacing w:line="360" w:lineRule="auto"/>
              <w:rPr>
                <w:rFonts w:ascii="Times New Roman" w:hAnsi="Times New Roman" w:eastAsia="宋体" w:cs="Times New Roman"/>
                <w:color w:val="000000" w:themeColor="text1"/>
                <w:sz w:val="24"/>
                <w:lang w:val="zh-TW" w:eastAsia="zh-TW" w:bidi="zh-TW"/>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金属污染：</w:t>
            </w:r>
            <w:r>
              <w:rPr>
                <w:rFonts w:ascii="Times New Roman" w:hAnsi="Times New Roman" w:eastAsia="宋体" w:cs="Times New Roman"/>
                <w:color w:val="000000" w:themeColor="text1"/>
                <w:sz w:val="24"/>
                <w:szCs w:val="24"/>
                <w14:textFill>
                  <w14:solidFill>
                    <w14:schemeClr w14:val="tx1"/>
                  </w14:solidFill>
                </w14:textFill>
              </w:rPr>
              <w:sym w:font="Symbol" w:char="F03C"/>
            </w:r>
            <w:r>
              <w:rPr>
                <w:rFonts w:ascii="Times New Roman" w:hAnsi="Times New Roman" w:eastAsia="宋体" w:cs="Times New Roman"/>
                <w:color w:val="000000" w:themeColor="text1"/>
                <w:sz w:val="24"/>
                <w:szCs w:val="24"/>
                <w14:textFill>
                  <w14:solidFill>
                    <w14:schemeClr w14:val="tx1"/>
                  </w14:solidFill>
                </w14:textFill>
              </w:rPr>
              <w:t>5E10atoms/cm</w:t>
            </w:r>
            <w:r>
              <w:rPr>
                <w:rFonts w:ascii="Times New Roman" w:hAnsi="Times New Roman" w:eastAsia="宋体" w:cs="Times New Roman"/>
                <w:color w:val="000000" w:themeColor="text1"/>
                <w:sz w:val="24"/>
                <w:szCs w:val="24"/>
                <w:vertAlign w:val="superscript"/>
                <w14:textFill>
                  <w14:solidFill>
                    <w14:schemeClr w14:val="tx1"/>
                  </w14:solidFill>
                </w14:textFill>
              </w:rPr>
              <w:t>2</w:t>
            </w:r>
          </w:p>
        </w:tc>
      </w:tr>
      <w:tr w14:paraId="278A7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restart"/>
            <w:vAlign w:val="center"/>
          </w:tcPr>
          <w:p w14:paraId="1FD93CA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5</w:t>
            </w:r>
          </w:p>
        </w:tc>
        <w:tc>
          <w:tcPr>
            <w:tcW w:w="1051" w:type="dxa"/>
            <w:vMerge w:val="restart"/>
            <w:vAlign w:val="center"/>
          </w:tcPr>
          <w:p w14:paraId="60255A33">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软件控制系统</w:t>
            </w:r>
          </w:p>
        </w:tc>
        <w:tc>
          <w:tcPr>
            <w:tcW w:w="749" w:type="dxa"/>
            <w:vAlign w:val="center"/>
          </w:tcPr>
          <w:p w14:paraId="15587D8B">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01074162">
            <w:pPr>
              <w:spacing w:line="360" w:lineRule="auto"/>
              <w:rPr>
                <w:rFonts w:ascii="Times New Roman" w:hAnsi="Times New Roman" w:eastAsia="宋体" w:cs="Times New Roman"/>
                <w:sz w:val="24"/>
              </w:rPr>
            </w:pPr>
            <w:r>
              <w:rPr>
                <w:rFonts w:hint="eastAsia" w:ascii="Times New Roman" w:hAnsi="Times New Roman" w:eastAsia="宋体" w:cs="Times New Roman"/>
                <w:sz w:val="24"/>
              </w:rPr>
              <w:t>软件能实时监控设备状态，具有工艺参数及环境参数记录功能，参数记录时间间隔≤</w:t>
            </w:r>
            <w:r>
              <w:rPr>
                <w:rFonts w:ascii="Times New Roman" w:hAnsi="Times New Roman" w:eastAsia="宋体" w:cs="Times New Roman"/>
                <w:sz w:val="24"/>
              </w:rPr>
              <w:t>1s</w:t>
            </w:r>
            <w:r>
              <w:rPr>
                <w:rFonts w:hint="eastAsia" w:ascii="Times New Roman" w:hAnsi="Times New Roman" w:eastAsia="宋体" w:cs="Times New Roman"/>
                <w:sz w:val="24"/>
              </w:rPr>
              <w:t>，参数记录保存时间≥</w:t>
            </w:r>
            <w:r>
              <w:rPr>
                <w:rFonts w:ascii="Times New Roman" w:hAnsi="Times New Roman" w:eastAsia="宋体" w:cs="Times New Roman"/>
                <w:sz w:val="24"/>
              </w:rPr>
              <w:t>1</w:t>
            </w:r>
            <w:r>
              <w:rPr>
                <w:rFonts w:hint="eastAsia" w:ascii="Times New Roman" w:hAnsi="Times New Roman" w:eastAsia="宋体" w:cs="Times New Roman"/>
                <w:sz w:val="24"/>
              </w:rPr>
              <w:t>年；具有异常报警功能</w:t>
            </w:r>
          </w:p>
        </w:tc>
      </w:tr>
      <w:tr w14:paraId="78DE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59273A72">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5D11F34">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A37A59F">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0B01A16F">
            <w:pPr>
              <w:spacing w:line="360" w:lineRule="auto"/>
              <w:rPr>
                <w:rFonts w:ascii="Times New Roman" w:hAnsi="Times New Roman" w:eastAsia="宋体" w:cs="Times New Roman"/>
                <w:color w:val="000000" w:themeColor="text1"/>
                <w:sz w:val="24"/>
                <w:lang w:val="zh-TW" w:eastAsia="zh-TW" w:bidi="zh-TW"/>
                <w14:textFill>
                  <w14:solidFill>
                    <w14:schemeClr w14:val="tx1"/>
                  </w14:solidFill>
                </w14:textFill>
              </w:rPr>
            </w:pPr>
            <w:r>
              <w:rPr>
                <w:rFonts w:hint="eastAsia" w:ascii="Times New Roman" w:hAnsi="Times New Roman" w:eastAsia="宋体" w:cs="Times New Roman"/>
                <w:sz w:val="24"/>
              </w:rPr>
              <w:t>软件系统可对温度、流量、阀门、压力等进行自动控制</w:t>
            </w:r>
          </w:p>
        </w:tc>
      </w:tr>
      <w:tr w14:paraId="41D80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785C297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78AAA400">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FBB758E">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75694753">
            <w:pPr>
              <w:spacing w:line="360" w:lineRule="auto"/>
              <w:rPr>
                <w:rFonts w:ascii="Times New Roman" w:hAnsi="Times New Roman" w:eastAsia="宋体" w:cs="Times New Roman"/>
                <w:color w:val="000000" w:themeColor="text1"/>
                <w:sz w:val="24"/>
                <w:lang w:val="zh-TW" w:eastAsia="zh-TW" w:bidi="zh-TW"/>
                <w14:textFill>
                  <w14:solidFill>
                    <w14:schemeClr w14:val="tx1"/>
                  </w14:solidFill>
                </w14:textFill>
              </w:rPr>
            </w:pPr>
            <w:r>
              <w:rPr>
                <w:rFonts w:hint="eastAsia" w:ascii="Times New Roman" w:hAnsi="Times New Roman" w:eastAsia="宋体" w:cs="Times New Roman"/>
                <w:sz w:val="24"/>
              </w:rPr>
              <w:t>控制软件可实现热</w:t>
            </w:r>
            <w:r>
              <w:rPr>
                <w:rFonts w:ascii="Times New Roman" w:hAnsi="Times New Roman" w:eastAsia="宋体" w:cs="Times New Roman"/>
                <w:sz w:val="24"/>
              </w:rPr>
              <w:t>ALD</w:t>
            </w:r>
            <w:r>
              <w:rPr>
                <w:rFonts w:hint="eastAsia" w:ascii="Times New Roman" w:hAnsi="Times New Roman" w:eastAsia="宋体" w:cs="Times New Roman"/>
                <w:sz w:val="24"/>
              </w:rPr>
              <w:t>腔体和等离子</w:t>
            </w:r>
            <w:r>
              <w:rPr>
                <w:rFonts w:ascii="Times New Roman" w:hAnsi="Times New Roman" w:eastAsia="宋体" w:cs="Times New Roman"/>
                <w:sz w:val="24"/>
              </w:rPr>
              <w:t>ALD</w:t>
            </w:r>
            <w:r>
              <w:rPr>
                <w:rFonts w:hint="eastAsia" w:ascii="Times New Roman" w:hAnsi="Times New Roman" w:eastAsia="宋体" w:cs="Times New Roman"/>
                <w:sz w:val="24"/>
              </w:rPr>
              <w:t>腔体同时作业</w:t>
            </w:r>
          </w:p>
        </w:tc>
      </w:tr>
      <w:tr w14:paraId="0B280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8" w:type="dxa"/>
            <w:vMerge w:val="continue"/>
            <w:vAlign w:val="center"/>
          </w:tcPr>
          <w:p w14:paraId="01EABFE2">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11B15C8">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3C2FE4A">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vAlign w:val="center"/>
          </w:tcPr>
          <w:p w14:paraId="576D51C9">
            <w:pPr>
              <w:spacing w:line="360" w:lineRule="auto"/>
              <w:rPr>
                <w:rFonts w:ascii="Times New Roman" w:hAnsi="Times New Roman" w:eastAsia="宋体" w:cs="Times New Roman"/>
                <w:color w:val="000000" w:themeColor="text1"/>
                <w:sz w:val="24"/>
                <w:lang w:val="zh-TW" w:eastAsia="zh-TW" w:bidi="zh-TW"/>
                <w14:textFill>
                  <w14:solidFill>
                    <w14:schemeClr w14:val="tx1"/>
                  </w14:solidFill>
                </w14:textFill>
              </w:rPr>
            </w:pPr>
            <w:r>
              <w:rPr>
                <w:rFonts w:hint="eastAsia" w:ascii="Times New Roman" w:hAnsi="Times New Roman" w:eastAsia="宋体" w:cs="Times New Roman"/>
                <w:sz w:val="24"/>
              </w:rPr>
              <w:t>可保存工艺菜单≥</w:t>
            </w:r>
            <w:r>
              <w:rPr>
                <w:rFonts w:ascii="Times New Roman" w:hAnsi="Times New Roman" w:eastAsia="宋体" w:cs="Times New Roman"/>
                <w:sz w:val="24"/>
              </w:rPr>
              <w:t>1000</w:t>
            </w:r>
            <w:r>
              <w:rPr>
                <w:rFonts w:hint="eastAsia" w:ascii="Times New Roman" w:hAnsi="Times New Roman" w:eastAsia="宋体" w:cs="Times New Roman"/>
                <w:sz w:val="24"/>
              </w:rPr>
              <w:t>条</w:t>
            </w:r>
          </w:p>
        </w:tc>
      </w:tr>
      <w:tr w14:paraId="022F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8" w:type="dxa"/>
            <w:vMerge w:val="restart"/>
            <w:vAlign w:val="center"/>
          </w:tcPr>
          <w:p w14:paraId="253D2A4E">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6</w:t>
            </w:r>
          </w:p>
        </w:tc>
        <w:tc>
          <w:tcPr>
            <w:tcW w:w="1051" w:type="dxa"/>
            <w:vMerge w:val="restart"/>
            <w:vAlign w:val="center"/>
          </w:tcPr>
          <w:p w14:paraId="3E13E54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验收技术指标</w:t>
            </w:r>
          </w:p>
        </w:tc>
        <w:tc>
          <w:tcPr>
            <w:tcW w:w="7879" w:type="dxa"/>
            <w:gridSpan w:val="2"/>
            <w:vAlign w:val="center"/>
          </w:tcPr>
          <w:p w14:paraId="30A55499">
            <w:pPr>
              <w:spacing w:line="360" w:lineRule="auto"/>
              <w:jc w:val="left"/>
              <w:rPr>
                <w:rFonts w:ascii="Times New Roman" w:hAnsi="Times New Roman" w:eastAsia="宋体" w:cs="Times New Roman"/>
                <w:b/>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1</w:t>
            </w:r>
            <w:r>
              <w:rPr>
                <w:rFonts w:hint="eastAsia" w:ascii="Times New Roman" w:hAnsi="Times New Roman" w:eastAsia="宋体" w:cs="Times New Roman"/>
                <w:b/>
                <w:color w:val="000000" w:themeColor="text1"/>
                <w:sz w:val="24"/>
                <w:szCs w:val="24"/>
                <w14:textFill>
                  <w14:solidFill>
                    <w14:schemeClr w14:val="tx1"/>
                  </w14:solidFill>
                </w14:textFill>
              </w:rPr>
              <w:t>：工艺验收指标</w:t>
            </w:r>
            <w:r>
              <w:rPr>
                <w:rFonts w:ascii="Times New Roman" w:hAnsi="Times New Roman" w:eastAsia="宋体" w:cs="Times New Roman"/>
                <w:b/>
                <w:color w:val="000000" w:themeColor="text1"/>
                <w:sz w:val="24"/>
                <w:szCs w:val="24"/>
                <w14:textFill>
                  <w14:solidFill>
                    <w14:schemeClr w14:val="tx1"/>
                  </w14:solidFill>
                </w14:textFill>
              </w:rPr>
              <w:t>-HfO</w:t>
            </w:r>
            <w:r>
              <w:rPr>
                <w:rFonts w:ascii="Times New Roman" w:hAnsi="Times New Roman" w:eastAsia="宋体" w:cs="Times New Roman"/>
                <w:b/>
                <w:color w:val="000000" w:themeColor="text1"/>
                <w:sz w:val="24"/>
                <w:szCs w:val="24"/>
                <w:vertAlign w:val="subscript"/>
                <w14:textFill>
                  <w14:solidFill>
                    <w14:schemeClr w14:val="tx1"/>
                  </w14:solidFill>
                </w14:textFill>
              </w:rPr>
              <w:t>2</w:t>
            </w:r>
          </w:p>
        </w:tc>
      </w:tr>
      <w:tr w14:paraId="263B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8" w:hRule="atLeast"/>
          <w:jc w:val="center"/>
        </w:trPr>
        <w:tc>
          <w:tcPr>
            <w:tcW w:w="608" w:type="dxa"/>
            <w:vMerge w:val="continue"/>
            <w:vAlign w:val="center"/>
          </w:tcPr>
          <w:p w14:paraId="727DB81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7D231BAB">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EFFF05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34650152">
            <w:pPr>
              <w:spacing w:line="360" w:lineRule="auto"/>
              <w:rPr>
                <w:rFonts w:ascii="Times New Roman" w:hAnsi="Times New Roman" w:eastAsia="宋体" w:cs="Times New Roman"/>
                <w:color w:val="000000" w:themeColor="text1"/>
                <w:sz w:val="24"/>
                <w:szCs w:val="24"/>
                <w14:textFill>
                  <w14:solidFill>
                    <w14:schemeClr w14:val="tx1"/>
                  </w14:solidFill>
                </w14:textFill>
              </w:rPr>
            </w:pPr>
            <w:bookmarkStart w:id="2" w:name="OLE_LINK2"/>
            <w:r>
              <w:rPr>
                <w:rFonts w:hint="eastAsia" w:ascii="Times New Roman" w:hAnsi="Times New Roman" w:eastAsia="宋体" w:cs="Times New Roman"/>
                <w:color w:val="000000" w:themeColor="text1"/>
                <w:sz w:val="24"/>
                <w:szCs w:val="24"/>
                <w14:textFill>
                  <w14:solidFill>
                    <w14:schemeClr w14:val="tx1"/>
                  </w14:solidFill>
                </w14:textFill>
              </w:rPr>
              <w:t>厚度偏差：</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0.2nm</w:t>
            </w:r>
            <w:bookmarkEnd w:id="2"/>
            <w:r>
              <w:rPr>
                <w:rFonts w:ascii="Times New Roman" w:hAnsi="Times New Roman" w:eastAsia="宋体" w:cs="Times New Roman"/>
                <w:color w:val="000000" w:themeColor="text1"/>
                <w:sz w:val="24"/>
                <w:szCs w:val="24"/>
                <w14:textFill>
                  <w14:solidFill>
                    <w14:schemeClr w14:val="tx1"/>
                  </w14:solidFill>
                </w14:textFill>
              </w:rPr>
              <w:t>@10nm</w:t>
            </w:r>
            <w:r>
              <w:rPr>
                <w:rFonts w:hint="eastAsia" w:ascii="Times New Roman" w:hAnsi="Times New Roman" w:eastAsia="宋体" w:cs="Times New Roman"/>
                <w:color w:val="000000" w:themeColor="text1"/>
                <w:sz w:val="24"/>
                <w:szCs w:val="24"/>
                <w14:textFill>
                  <w14:solidFill>
                    <w14:schemeClr w14:val="tx1"/>
                  </w14:solidFill>
                </w14:textFill>
              </w:rPr>
              <w:t>沉积厚度</w:t>
            </w:r>
          </w:p>
        </w:tc>
      </w:tr>
      <w:tr w14:paraId="6645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8" w:type="dxa"/>
            <w:vMerge w:val="continue"/>
            <w:vAlign w:val="center"/>
          </w:tcPr>
          <w:p w14:paraId="28B2A55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70F9546">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7FDC7FFB">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0A5BDEFC">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片内厚度（</w:t>
            </w:r>
            <w:r>
              <w:rPr>
                <w:rFonts w:ascii="Times New Roman" w:hAnsi="Times New Roman" w:eastAsia="宋体" w:cs="Times New Roman"/>
                <w:color w:val="000000" w:themeColor="text1"/>
                <w:sz w:val="24"/>
                <w:szCs w:val="24"/>
                <w14:textFill>
                  <w14:solidFill>
                    <w14:schemeClr w14:val="tx1"/>
                  </w14:solidFill>
                </w14:textFill>
              </w:rPr>
              <w:t>12</w:t>
            </w:r>
            <w:r>
              <w:rPr>
                <w:rFonts w:hint="eastAsia" w:ascii="Times New Roman" w:hAnsi="Times New Roman" w:eastAsia="宋体" w:cs="Times New Roman"/>
                <w:color w:val="000000" w:themeColor="text1"/>
                <w:sz w:val="24"/>
                <w:szCs w:val="24"/>
                <w14:textFill>
                  <w14:solidFill>
                    <w14:schemeClr w14:val="tx1"/>
                  </w14:solidFill>
                </w14:textFill>
              </w:rPr>
              <w:t>英寸）均匀性≤</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w:t>
            </w:r>
          </w:p>
          <w:p w14:paraId="6F664CC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（测量时去边</w:t>
            </w:r>
            <w:r>
              <w:rPr>
                <w:rFonts w:ascii="Times New Roman" w:hAnsi="Times New Roman" w:eastAsia="宋体" w:cs="Times New Roman"/>
                <w:color w:val="000000" w:themeColor="text1"/>
                <w:sz w:val="24"/>
                <w:szCs w:val="24"/>
                <w14:textFill>
                  <w14:solidFill>
                    <w14:schemeClr w14:val="tx1"/>
                  </w14:solidFill>
                </w14:textFill>
              </w:rPr>
              <w:t>3mm，</w:t>
            </w:r>
            <w:r>
              <w:rPr>
                <w:rFonts w:hint="eastAsia" w:ascii="Times New Roman" w:hAnsi="Times New Roman" w:eastAsia="宋体" w:cs="Times New Roman"/>
                <w:color w:val="000000" w:themeColor="text1"/>
                <w:sz w:val="24"/>
                <w:szCs w:val="24"/>
                <w14:textFill>
                  <w14:solidFill>
                    <w14:schemeClr w14:val="tx1"/>
                  </w14:solidFill>
                </w14:textFill>
              </w:rPr>
              <w:t>选取</w:t>
            </w:r>
            <w:r>
              <w:rPr>
                <w:rFonts w:ascii="Times New Roman" w:hAnsi="Times New Roman" w:eastAsia="宋体" w:cs="Times New Roman"/>
                <w:color w:val="000000" w:themeColor="text1"/>
                <w:sz w:val="24"/>
                <w:szCs w:val="24"/>
                <w14:textFill>
                  <w14:solidFill>
                    <w14:schemeClr w14:val="tx1"/>
                  </w14:solidFill>
                </w14:textFill>
              </w:rPr>
              <w:t>49</w:t>
            </w:r>
            <w:r>
              <w:rPr>
                <w:rFonts w:hint="eastAsia" w:ascii="Times New Roman" w:hAnsi="Times New Roman" w:eastAsia="宋体" w:cs="Times New Roman"/>
                <w:color w:val="000000" w:themeColor="text1"/>
                <w:sz w:val="24"/>
                <w:szCs w:val="24"/>
                <w14:textFill>
                  <w14:solidFill>
                    <w14:schemeClr w14:val="tx1"/>
                  </w14:solidFill>
                </w14:textFill>
              </w:rPr>
              <w:t>个点测量，取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6DE5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2A5A27F">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2E78080">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153864EC">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64E63997">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片间厚度均匀性≤</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w:t>
            </w:r>
          </w:p>
          <w:p w14:paraId="2C7DCFAF">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（测量不少于</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片，取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01047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562B665">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D76651F">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D800A55">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vAlign w:val="center"/>
          </w:tcPr>
          <w:p w14:paraId="77FE0C9E">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每个循环沉积的厚度（</w:t>
            </w:r>
            <w:r>
              <w:rPr>
                <w:rFonts w:ascii="Times New Roman" w:hAnsi="Times New Roman" w:eastAsia="宋体" w:cs="Times New Roman"/>
                <w:color w:val="000000" w:themeColor="text1"/>
                <w:sz w:val="24"/>
                <w:szCs w:val="24"/>
                <w14:textFill>
                  <w14:solidFill>
                    <w14:schemeClr w14:val="tx1"/>
                  </w14:solidFill>
                </w14:textFill>
              </w:rPr>
              <w:t>GPC</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0.09nm/</w:t>
            </w:r>
            <w:r>
              <w:rPr>
                <w:rFonts w:hint="eastAsia" w:ascii="Times New Roman" w:hAnsi="Times New Roman" w:eastAsia="宋体" w:cs="Times New Roman"/>
                <w:color w:val="000000" w:themeColor="text1"/>
                <w:sz w:val="24"/>
                <w:szCs w:val="24"/>
                <w14:textFill>
                  <w14:solidFill>
                    <w14:schemeClr w14:val="tx1"/>
                  </w14:solidFill>
                </w14:textFill>
              </w:rPr>
              <w:t>循环；</w:t>
            </w:r>
          </w:p>
          <w:p w14:paraId="65E8877E">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（检测方法：测量沉积</w:t>
            </w:r>
            <w:r>
              <w:rPr>
                <w:rFonts w:ascii="Times New Roman" w:hAnsi="Times New Roman" w:eastAsia="宋体" w:cs="Times New Roman"/>
                <w:color w:val="000000" w:themeColor="text1"/>
                <w:sz w:val="24"/>
                <w:szCs w:val="24"/>
                <w14:textFill>
                  <w14:solidFill>
                    <w14:schemeClr w14:val="tx1"/>
                  </w14:solidFill>
                </w14:textFill>
              </w:rPr>
              <w:t>200</w:t>
            </w:r>
            <w:r>
              <w:rPr>
                <w:rFonts w:hint="eastAsia" w:ascii="Times New Roman" w:hAnsi="Times New Roman" w:eastAsia="宋体" w:cs="Times New Roman"/>
                <w:color w:val="000000" w:themeColor="text1"/>
                <w:sz w:val="24"/>
                <w:szCs w:val="24"/>
                <w14:textFill>
                  <w14:solidFill>
                    <w14:schemeClr w14:val="tx1"/>
                  </w14:solidFill>
                </w14:textFill>
              </w:rPr>
              <w:t>个循环，计算单个循环沉积厚度）。</w:t>
            </w:r>
          </w:p>
        </w:tc>
      </w:tr>
      <w:tr w14:paraId="60A29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998F0EF">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38B33416">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0926C47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5</w:t>
            </w:r>
          </w:p>
        </w:tc>
        <w:tc>
          <w:tcPr>
            <w:tcW w:w="7130" w:type="dxa"/>
            <w:vAlign w:val="center"/>
          </w:tcPr>
          <w:p w14:paraId="70890A31">
            <w:pPr>
              <w:spacing w:line="360" w:lineRule="auto"/>
              <w:rPr>
                <w:rFonts w:ascii="Times New Roman" w:hAnsi="Times New Roman" w:eastAsia="宋体" w:cs="Times New Roman"/>
                <w:sz w:val="24"/>
              </w:rPr>
            </w:pPr>
            <w:r>
              <w:rPr>
                <w:rFonts w:hint="eastAsia" w:ascii="Times New Roman" w:hAnsi="Times New Roman" w:eastAsia="宋体" w:cs="Times New Roman"/>
                <w:sz w:val="24"/>
              </w:rPr>
              <w:t>台阶覆盖率（图形深宽比≥</w:t>
            </w:r>
            <w:r>
              <w:rPr>
                <w:rFonts w:ascii="Times New Roman" w:hAnsi="Times New Roman" w:eastAsia="宋体" w:cs="Times New Roman"/>
                <w:sz w:val="24"/>
              </w:rPr>
              <w:t>3</w:t>
            </w:r>
            <w:r>
              <w:rPr>
                <w:rFonts w:hint="eastAsia" w:ascii="Times New Roman" w:hAnsi="Times New Roman" w:eastAsia="宋体" w:cs="Times New Roman"/>
                <w:sz w:val="24"/>
              </w:rPr>
              <w:t>、沟槽</w:t>
            </w:r>
            <w:r>
              <w:rPr>
                <w:rFonts w:ascii="Times New Roman" w:hAnsi="Times New Roman" w:eastAsia="宋体" w:cs="Times New Roman"/>
                <w:sz w:val="24"/>
              </w:rPr>
              <w:t>CD</w:t>
            </w:r>
            <w:r>
              <w:rPr>
                <w:rFonts w:hint="eastAsia" w:ascii="Times New Roman" w:hAnsi="Times New Roman" w:eastAsia="宋体" w:cs="Times New Roman"/>
                <w:sz w:val="24"/>
              </w:rPr>
              <w:t>≤</w:t>
            </w:r>
            <w:r>
              <w:rPr>
                <w:rFonts w:ascii="Times New Roman" w:hAnsi="Times New Roman" w:eastAsia="宋体" w:cs="Times New Roman"/>
                <w:sz w:val="24"/>
              </w:rPr>
              <w:t>100nm</w:t>
            </w:r>
            <w:r>
              <w:rPr>
                <w:rFonts w:hint="eastAsia" w:ascii="Times New Roman" w:hAnsi="Times New Roman" w:eastAsia="宋体" w:cs="Times New Roman"/>
                <w:sz w:val="24"/>
              </w:rPr>
              <w:t>时）≥</w:t>
            </w:r>
            <w:r>
              <w:rPr>
                <w:rFonts w:ascii="Times New Roman" w:hAnsi="Times New Roman" w:eastAsia="宋体" w:cs="Times New Roman"/>
                <w:sz w:val="24"/>
              </w:rPr>
              <w:t>98%</w:t>
            </w:r>
            <w:r>
              <w:rPr>
                <w:rFonts w:hint="eastAsia" w:ascii="Times New Roman" w:hAnsi="Times New Roman" w:eastAsia="宋体" w:cs="Times New Roman"/>
                <w:sz w:val="24"/>
              </w:rPr>
              <w:t>；</w:t>
            </w:r>
          </w:p>
          <w:p w14:paraId="4C8A88E1">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sz w:val="24"/>
              </w:rPr>
              <w:t>（计算方法：台阶覆盖率</w:t>
            </w:r>
            <w:r>
              <w:rPr>
                <w:rFonts w:ascii="Times New Roman" w:hAnsi="Times New Roman" w:eastAsia="宋体" w:cs="Times New Roman"/>
                <w:sz w:val="24"/>
              </w:rPr>
              <w:t>=</w:t>
            </w:r>
            <w:r>
              <w:rPr>
                <w:rFonts w:hint="eastAsia" w:ascii="Times New Roman" w:hAnsi="Times New Roman" w:eastAsia="宋体" w:cs="Times New Roman"/>
                <w:sz w:val="24"/>
              </w:rPr>
              <w:t>沟槽底部沉积的厚度</w:t>
            </w:r>
            <w:r>
              <w:rPr>
                <w:rFonts w:ascii="Times New Roman" w:hAnsi="Times New Roman" w:eastAsia="宋体" w:cs="Times New Roman"/>
                <w:sz w:val="24"/>
              </w:rPr>
              <w:t>/</w:t>
            </w:r>
            <w:r>
              <w:rPr>
                <w:rFonts w:hint="eastAsia" w:ascii="Times New Roman" w:hAnsi="Times New Roman" w:eastAsia="宋体" w:cs="Times New Roman"/>
                <w:sz w:val="24"/>
              </w:rPr>
              <w:t>顶部沉积的厚度</w:t>
            </w:r>
            <w:r>
              <w:rPr>
                <w:rFonts w:ascii="Times New Roman" w:hAnsi="Times New Roman" w:eastAsia="宋体" w:cs="Times New Roman"/>
                <w:sz w:val="24"/>
              </w:rPr>
              <w:t>×100%</w:t>
            </w:r>
            <w:r>
              <w:rPr>
                <w:rFonts w:hint="eastAsia" w:ascii="Times New Roman" w:hAnsi="Times New Roman" w:eastAsia="宋体" w:cs="Times New Roman"/>
                <w:sz w:val="24"/>
              </w:rPr>
              <w:t>）。</w:t>
            </w:r>
          </w:p>
        </w:tc>
      </w:tr>
      <w:tr w14:paraId="6E2C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A7B95A9">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54EFC13">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879" w:type="dxa"/>
            <w:gridSpan w:val="2"/>
            <w:vAlign w:val="center"/>
          </w:tcPr>
          <w:p w14:paraId="5783D1D8">
            <w:pPr>
              <w:spacing w:line="360" w:lineRule="auto"/>
              <w:jc w:val="left"/>
              <w:rPr>
                <w:rFonts w:ascii="Times New Roman" w:hAnsi="Times New Roman" w:eastAsia="宋体" w:cs="Times New Roman"/>
                <w:sz w:val="24"/>
              </w:rPr>
            </w:pPr>
            <w:r>
              <w:rPr>
                <w:rFonts w:ascii="Times New Roman" w:hAnsi="Times New Roman" w:eastAsia="宋体" w:cs="Times New Roman"/>
                <w:b/>
                <w:color w:val="000000" w:themeColor="text1"/>
                <w:sz w:val="24"/>
                <w:szCs w:val="24"/>
                <w14:textFill>
                  <w14:solidFill>
                    <w14:schemeClr w14:val="tx1"/>
                  </w14:solidFill>
                </w14:textFill>
              </w:rPr>
              <w:t>2</w:t>
            </w:r>
            <w:r>
              <w:rPr>
                <w:rFonts w:hint="eastAsia" w:ascii="Times New Roman" w:hAnsi="Times New Roman" w:eastAsia="宋体" w:cs="Times New Roman"/>
                <w:b/>
                <w:color w:val="000000" w:themeColor="text1"/>
                <w:sz w:val="24"/>
                <w:szCs w:val="24"/>
                <w14:textFill>
                  <w14:solidFill>
                    <w14:schemeClr w14:val="tx1"/>
                  </w14:solidFill>
                </w14:textFill>
              </w:rPr>
              <w:t>：工艺验收指标</w:t>
            </w:r>
            <w:r>
              <w:rPr>
                <w:rFonts w:ascii="Times New Roman" w:hAnsi="Times New Roman" w:eastAsia="宋体" w:cs="Times New Roman"/>
                <w:b/>
                <w:color w:val="000000" w:themeColor="text1"/>
                <w:sz w:val="24"/>
                <w:szCs w:val="24"/>
                <w14:textFill>
                  <w14:solidFill>
                    <w14:schemeClr w14:val="tx1"/>
                  </w14:solidFill>
                </w14:textFill>
              </w:rPr>
              <w:t>-Al</w:t>
            </w:r>
            <w:r>
              <w:rPr>
                <w:rFonts w:ascii="Times New Roman" w:hAnsi="Times New Roman" w:eastAsia="宋体" w:cs="Times New Roman"/>
                <w:b/>
                <w:color w:val="000000" w:themeColor="text1"/>
                <w:sz w:val="24"/>
                <w:szCs w:val="24"/>
                <w:vertAlign w:val="subscript"/>
                <w14:textFill>
                  <w14:solidFill>
                    <w14:schemeClr w14:val="tx1"/>
                  </w14:solidFill>
                </w14:textFill>
              </w:rPr>
              <w:t>2</w:t>
            </w:r>
            <w:r>
              <w:rPr>
                <w:rFonts w:ascii="Times New Roman" w:hAnsi="Times New Roman" w:eastAsia="宋体" w:cs="Times New Roman"/>
                <w:b/>
                <w:color w:val="000000" w:themeColor="text1"/>
                <w:sz w:val="24"/>
                <w:szCs w:val="24"/>
                <w14:textFill>
                  <w14:solidFill>
                    <w14:schemeClr w14:val="tx1"/>
                  </w14:solidFill>
                </w14:textFill>
              </w:rPr>
              <w:t>O</w:t>
            </w:r>
            <w:r>
              <w:rPr>
                <w:rFonts w:ascii="Times New Roman" w:hAnsi="Times New Roman" w:eastAsia="宋体" w:cs="Times New Roman"/>
                <w:b/>
                <w:color w:val="000000" w:themeColor="text1"/>
                <w:sz w:val="24"/>
                <w:szCs w:val="24"/>
                <w:vertAlign w:val="subscript"/>
                <w14:textFill>
                  <w14:solidFill>
                    <w14:schemeClr w14:val="tx1"/>
                  </w14:solidFill>
                </w14:textFill>
              </w:rPr>
              <w:t>3</w:t>
            </w:r>
          </w:p>
        </w:tc>
      </w:tr>
      <w:tr w14:paraId="0558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E743459">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C9D387C">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15E24E0">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3650EF20">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厚度偏差：</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0.2nm@10nm</w:t>
            </w:r>
            <w:r>
              <w:rPr>
                <w:rFonts w:hint="eastAsia" w:ascii="Times New Roman" w:hAnsi="Times New Roman" w:eastAsia="宋体" w:cs="Times New Roman"/>
                <w:color w:val="000000" w:themeColor="text1"/>
                <w:sz w:val="24"/>
                <w:szCs w:val="24"/>
                <w14:textFill>
                  <w14:solidFill>
                    <w14:schemeClr w14:val="tx1"/>
                  </w14:solidFill>
                </w14:textFill>
              </w:rPr>
              <w:t>沉积厚度</w:t>
            </w:r>
          </w:p>
        </w:tc>
      </w:tr>
      <w:tr w14:paraId="34A7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1A6A001">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37D0626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01ABBAC0">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7EF2D4B0">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片内厚度均匀性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3.0%</w:t>
            </w:r>
            <w:r>
              <w:rPr>
                <w:rFonts w:hint="eastAsia" w:ascii="Times New Roman" w:hAnsi="Times New Roman" w:eastAsia="宋体" w:cs="Times New Roman"/>
                <w:color w:val="000000" w:themeColor="text1"/>
                <w:sz w:val="24"/>
                <w:szCs w:val="24"/>
                <w14:textFill>
                  <w14:solidFill>
                    <w14:schemeClr w14:val="tx1"/>
                  </w14:solidFill>
                </w14:textFill>
              </w:rPr>
              <w:t>；</w:t>
            </w:r>
          </w:p>
          <w:p w14:paraId="52A7EB3F">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（测量时去边</w:t>
            </w:r>
            <w:r>
              <w:rPr>
                <w:rFonts w:ascii="Times New Roman" w:hAnsi="Times New Roman" w:eastAsia="宋体" w:cs="Times New Roman"/>
                <w:color w:val="000000" w:themeColor="text1"/>
                <w:sz w:val="24"/>
                <w:szCs w:val="24"/>
                <w14:textFill>
                  <w14:solidFill>
                    <w14:schemeClr w14:val="tx1"/>
                  </w14:solidFill>
                </w14:textFill>
              </w:rPr>
              <w:t>3mm，</w:t>
            </w:r>
            <w:r>
              <w:rPr>
                <w:rFonts w:hint="eastAsia" w:ascii="Times New Roman" w:hAnsi="Times New Roman" w:eastAsia="宋体" w:cs="Times New Roman"/>
                <w:color w:val="000000" w:themeColor="text1"/>
                <w:sz w:val="24"/>
                <w:szCs w:val="24"/>
                <w14:textFill>
                  <w14:solidFill>
                    <w14:schemeClr w14:val="tx1"/>
                  </w14:solidFill>
                </w14:textFill>
              </w:rPr>
              <w:t>选取</w:t>
            </w:r>
            <w:r>
              <w:rPr>
                <w:rFonts w:ascii="Times New Roman" w:hAnsi="Times New Roman" w:eastAsia="宋体" w:cs="Times New Roman"/>
                <w:color w:val="000000" w:themeColor="text1"/>
                <w:sz w:val="24"/>
                <w:szCs w:val="24"/>
                <w14:textFill>
                  <w14:solidFill>
                    <w14:schemeClr w14:val="tx1"/>
                  </w14:solidFill>
                </w14:textFill>
              </w:rPr>
              <w:t>49</w:t>
            </w:r>
            <w:r>
              <w:rPr>
                <w:rFonts w:hint="eastAsia" w:ascii="Times New Roman" w:hAnsi="Times New Roman" w:eastAsia="宋体" w:cs="Times New Roman"/>
                <w:color w:val="000000" w:themeColor="text1"/>
                <w:sz w:val="24"/>
                <w:szCs w:val="24"/>
                <w14:textFill>
                  <w14:solidFill>
                    <w14:schemeClr w14:val="tx1"/>
                  </w14:solidFill>
                </w14:textFill>
              </w:rPr>
              <w:t>个点测量，取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1B9F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C4845C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729381E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07366F20">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0B3A6C8C">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片间厚度均匀性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3.0%</w:t>
            </w:r>
            <w:r>
              <w:rPr>
                <w:rFonts w:hint="eastAsia" w:ascii="Times New Roman" w:hAnsi="Times New Roman" w:eastAsia="宋体" w:cs="Times New Roman"/>
                <w:color w:val="000000" w:themeColor="text1"/>
                <w:sz w:val="24"/>
                <w:szCs w:val="24"/>
                <w14:textFill>
                  <w14:solidFill>
                    <w14:schemeClr w14:val="tx1"/>
                  </w14:solidFill>
                </w14:textFill>
              </w:rPr>
              <w:t>；</w:t>
            </w:r>
          </w:p>
          <w:p w14:paraId="575C2785">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（测量不少于</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片，取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09681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D7D218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87C87C0">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879" w:type="dxa"/>
            <w:gridSpan w:val="2"/>
            <w:vAlign w:val="center"/>
          </w:tcPr>
          <w:p w14:paraId="5932C4B2">
            <w:pPr>
              <w:spacing w:line="360" w:lineRule="auto"/>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b/>
                <w:color w:val="000000" w:themeColor="text1"/>
                <w:sz w:val="24"/>
                <w:szCs w:val="24"/>
                <w14:textFill>
                  <w14:solidFill>
                    <w14:schemeClr w14:val="tx1"/>
                  </w14:solidFill>
                </w14:textFill>
              </w:rPr>
              <w:t>3</w:t>
            </w:r>
            <w:r>
              <w:rPr>
                <w:rFonts w:hint="eastAsia" w:ascii="Times New Roman" w:hAnsi="Times New Roman" w:eastAsia="宋体" w:cs="Times New Roman"/>
                <w:b/>
                <w:color w:val="000000" w:themeColor="text1"/>
                <w:sz w:val="24"/>
                <w:szCs w:val="24"/>
                <w14:textFill>
                  <w14:solidFill>
                    <w14:schemeClr w14:val="tx1"/>
                  </w14:solidFill>
                </w14:textFill>
              </w:rPr>
              <w:t>：工艺验收指标</w:t>
            </w:r>
            <w:r>
              <w:rPr>
                <w:rFonts w:ascii="Times New Roman" w:hAnsi="Times New Roman" w:eastAsia="宋体" w:cs="Times New Roman"/>
                <w:b/>
                <w:color w:val="000000" w:themeColor="text1"/>
                <w:sz w:val="24"/>
                <w:szCs w:val="24"/>
                <w14:textFill>
                  <w14:solidFill>
                    <w14:schemeClr w14:val="tx1"/>
                  </w14:solidFill>
                </w14:textFill>
              </w:rPr>
              <w:t>-TiOx</w:t>
            </w:r>
          </w:p>
        </w:tc>
      </w:tr>
      <w:tr w14:paraId="05FBC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A2CCA3D">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C6E3116">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984F301">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3B72529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厚度偏差：</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0.2nm@10nm</w:t>
            </w:r>
            <w:r>
              <w:rPr>
                <w:rFonts w:hint="eastAsia" w:ascii="Times New Roman" w:hAnsi="Times New Roman" w:eastAsia="宋体" w:cs="Times New Roman"/>
                <w:color w:val="000000" w:themeColor="text1"/>
                <w:sz w:val="24"/>
                <w:szCs w:val="24"/>
                <w14:textFill>
                  <w14:solidFill>
                    <w14:schemeClr w14:val="tx1"/>
                  </w14:solidFill>
                </w14:textFill>
              </w:rPr>
              <w:t>沉积厚度</w:t>
            </w:r>
          </w:p>
        </w:tc>
      </w:tr>
      <w:tr w14:paraId="7C2D4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C2F35C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7AA50B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537DEA4">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5C55FA38">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片内厚度均匀性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w:t>
            </w:r>
          </w:p>
          <w:p w14:paraId="3AE67497">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（测量时去边</w:t>
            </w:r>
            <w:r>
              <w:rPr>
                <w:rFonts w:ascii="Times New Roman" w:hAnsi="Times New Roman" w:eastAsia="宋体" w:cs="Times New Roman"/>
                <w:color w:val="000000" w:themeColor="text1"/>
                <w:sz w:val="24"/>
                <w:szCs w:val="24"/>
                <w14:textFill>
                  <w14:solidFill>
                    <w14:schemeClr w14:val="tx1"/>
                  </w14:solidFill>
                </w14:textFill>
              </w:rPr>
              <w:t>3mm，</w:t>
            </w:r>
            <w:r>
              <w:rPr>
                <w:rFonts w:hint="eastAsia" w:ascii="Times New Roman" w:hAnsi="Times New Roman" w:eastAsia="宋体" w:cs="Times New Roman"/>
                <w:color w:val="000000" w:themeColor="text1"/>
                <w:sz w:val="24"/>
                <w:szCs w:val="24"/>
                <w14:textFill>
                  <w14:solidFill>
                    <w14:schemeClr w14:val="tx1"/>
                  </w14:solidFill>
                </w14:textFill>
              </w:rPr>
              <w:t>选取</w:t>
            </w:r>
            <w:r>
              <w:rPr>
                <w:rFonts w:ascii="Times New Roman" w:hAnsi="Times New Roman" w:eastAsia="宋体" w:cs="Times New Roman"/>
                <w:color w:val="000000" w:themeColor="text1"/>
                <w:sz w:val="24"/>
                <w:szCs w:val="24"/>
                <w14:textFill>
                  <w14:solidFill>
                    <w14:schemeClr w14:val="tx1"/>
                  </w14:solidFill>
                </w14:textFill>
              </w:rPr>
              <w:t>49</w:t>
            </w:r>
            <w:r>
              <w:rPr>
                <w:rFonts w:hint="eastAsia" w:ascii="Times New Roman" w:hAnsi="Times New Roman" w:eastAsia="宋体" w:cs="Times New Roman"/>
                <w:color w:val="000000" w:themeColor="text1"/>
                <w:sz w:val="24"/>
                <w:szCs w:val="24"/>
                <w14:textFill>
                  <w14:solidFill>
                    <w14:schemeClr w14:val="tx1"/>
                  </w14:solidFill>
                </w14:textFill>
              </w:rPr>
              <w:t>个点测量，取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38C8C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2FD4C79">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071D10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1AC479AD">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5980085B">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片间厚度均匀性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3.0%</w:t>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32A7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306C027">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85EA70B">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879" w:type="dxa"/>
            <w:gridSpan w:val="2"/>
            <w:vAlign w:val="center"/>
          </w:tcPr>
          <w:p w14:paraId="230618B2">
            <w:pPr>
              <w:spacing w:line="360" w:lineRule="auto"/>
              <w:rPr>
                <w:rFonts w:ascii="Times New Roman" w:hAnsi="Times New Roman" w:eastAsia="宋体" w:cs="Times New Roman"/>
                <w:sz w:val="24"/>
              </w:rPr>
            </w:pPr>
            <w:r>
              <w:rPr>
                <w:rFonts w:ascii="Times New Roman" w:hAnsi="Times New Roman" w:eastAsia="宋体" w:cs="Times New Roman"/>
                <w:b/>
                <w:color w:val="000000" w:themeColor="text1"/>
                <w:sz w:val="24"/>
                <w:szCs w:val="24"/>
                <w14:textFill>
                  <w14:solidFill>
                    <w14:schemeClr w14:val="tx1"/>
                  </w14:solidFill>
                </w14:textFill>
              </w:rPr>
              <w:t>4</w:t>
            </w:r>
            <w:r>
              <w:rPr>
                <w:rFonts w:hint="eastAsia" w:ascii="Times New Roman" w:hAnsi="Times New Roman" w:eastAsia="宋体" w:cs="Times New Roman"/>
                <w:b/>
                <w:color w:val="000000" w:themeColor="text1"/>
                <w:sz w:val="24"/>
                <w:szCs w:val="24"/>
                <w14:textFill>
                  <w14:solidFill>
                    <w14:schemeClr w14:val="tx1"/>
                  </w14:solidFill>
                </w14:textFill>
              </w:rPr>
              <w:t>：工艺验收指标</w:t>
            </w:r>
            <w:r>
              <w:rPr>
                <w:rFonts w:ascii="Times New Roman" w:hAnsi="Times New Roman" w:eastAsia="宋体" w:cs="Times New Roman"/>
                <w:b/>
                <w:color w:val="000000" w:themeColor="text1"/>
                <w:sz w:val="24"/>
                <w:szCs w:val="24"/>
                <w14:textFill>
                  <w14:solidFill>
                    <w14:schemeClr w14:val="tx1"/>
                  </w14:solidFill>
                </w14:textFill>
              </w:rPr>
              <w:t>-TiNx</w:t>
            </w:r>
          </w:p>
        </w:tc>
      </w:tr>
      <w:tr w14:paraId="2B88D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0D7E472">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15778BA">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7568F50">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3A790D4A">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厚度偏差：</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0.2nm@10nm</w:t>
            </w:r>
            <w:r>
              <w:rPr>
                <w:rFonts w:hint="eastAsia" w:ascii="Times New Roman" w:hAnsi="Times New Roman" w:eastAsia="宋体" w:cs="Times New Roman"/>
                <w:color w:val="000000" w:themeColor="text1"/>
                <w:sz w:val="24"/>
                <w:szCs w:val="24"/>
                <w14:textFill>
                  <w14:solidFill>
                    <w14:schemeClr w14:val="tx1"/>
                  </w14:solidFill>
                </w14:textFill>
              </w:rPr>
              <w:t>沉积厚度</w:t>
            </w:r>
          </w:p>
        </w:tc>
      </w:tr>
      <w:tr w14:paraId="5689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95AE84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1E8C5DF">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4935E396">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134B77F9">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片内厚度均匀性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9.0%</w:t>
            </w:r>
            <w:r>
              <w:rPr>
                <w:rFonts w:hint="eastAsia" w:ascii="Times New Roman" w:hAnsi="Times New Roman" w:eastAsia="宋体" w:cs="Times New Roman"/>
                <w:color w:val="000000" w:themeColor="text1"/>
                <w:sz w:val="24"/>
                <w:szCs w:val="24"/>
                <w14:textFill>
                  <w14:solidFill>
                    <w14:schemeClr w14:val="tx1"/>
                  </w14:solidFill>
                </w14:textFill>
              </w:rPr>
              <w:t>；</w:t>
            </w:r>
          </w:p>
          <w:p w14:paraId="0F1DC27A">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（测量时去边</w:t>
            </w:r>
            <w:r>
              <w:rPr>
                <w:rFonts w:ascii="Times New Roman" w:hAnsi="Times New Roman" w:eastAsia="宋体" w:cs="Times New Roman"/>
                <w:color w:val="000000" w:themeColor="text1"/>
                <w:sz w:val="24"/>
                <w:szCs w:val="24"/>
                <w14:textFill>
                  <w14:solidFill>
                    <w14:schemeClr w14:val="tx1"/>
                  </w14:solidFill>
                </w14:textFill>
              </w:rPr>
              <w:t>3mm，</w:t>
            </w:r>
            <w:r>
              <w:rPr>
                <w:rFonts w:hint="eastAsia" w:ascii="Times New Roman" w:hAnsi="Times New Roman" w:eastAsia="宋体" w:cs="Times New Roman"/>
                <w:color w:val="000000" w:themeColor="text1"/>
                <w:sz w:val="24"/>
                <w:szCs w:val="24"/>
                <w14:textFill>
                  <w14:solidFill>
                    <w14:schemeClr w14:val="tx1"/>
                  </w14:solidFill>
                </w14:textFill>
              </w:rPr>
              <w:t>选取</w:t>
            </w:r>
            <w:r>
              <w:rPr>
                <w:rFonts w:ascii="Times New Roman" w:hAnsi="Times New Roman" w:eastAsia="宋体" w:cs="Times New Roman"/>
                <w:color w:val="000000" w:themeColor="text1"/>
                <w:sz w:val="24"/>
                <w:szCs w:val="24"/>
                <w14:textFill>
                  <w14:solidFill>
                    <w14:schemeClr w14:val="tx1"/>
                  </w14:solidFill>
                </w14:textFill>
              </w:rPr>
              <w:t>49</w:t>
            </w:r>
            <w:r>
              <w:rPr>
                <w:rFonts w:hint="eastAsia" w:ascii="Times New Roman" w:hAnsi="Times New Roman" w:eastAsia="宋体" w:cs="Times New Roman"/>
                <w:color w:val="000000" w:themeColor="text1"/>
                <w:sz w:val="24"/>
                <w:szCs w:val="24"/>
                <w14:textFill>
                  <w14:solidFill>
                    <w14:schemeClr w14:val="tx1"/>
                  </w14:solidFill>
                </w14:textFill>
              </w:rPr>
              <w:t>个点测量，取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3AD8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71C4659">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056E917">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1216A9B7">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10269C87">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片间厚度均匀性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3.0%</w:t>
            </w:r>
            <w:r>
              <w:rPr>
                <w:rFonts w:hint="eastAsia" w:ascii="Times New Roman" w:hAnsi="Times New Roman" w:eastAsia="宋体" w:cs="Times New Roman"/>
                <w:color w:val="000000" w:themeColor="text1"/>
                <w:sz w:val="24"/>
                <w:szCs w:val="24"/>
                <w14:textFill>
                  <w14:solidFill>
                    <w14:schemeClr w14:val="tx1"/>
                  </w14:solidFill>
                </w14:textFill>
              </w:rPr>
              <w:t>；</w:t>
            </w:r>
          </w:p>
          <w:p w14:paraId="760C96A1">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（测量不少于</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片，取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2EEC0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665ACBA">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EB282B8">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5523F2A0">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vAlign w:val="center"/>
          </w:tcPr>
          <w:p w14:paraId="0B0D696E">
            <w:pPr>
              <w:spacing w:line="360" w:lineRule="auto"/>
              <w:rPr>
                <w:rFonts w:ascii="Times New Roman" w:hAnsi="Times New Roman" w:eastAsia="宋体" w:cs="Times New Roman"/>
                <w:sz w:val="24"/>
                <w:szCs w:val="24"/>
              </w:rPr>
            </w:pPr>
            <w:r>
              <w:fldChar w:fldCharType="begin"/>
            </w:r>
            <w:r>
              <w:instrText xml:space="preserve"> HYPERLINK "mailto:膜层折射率n@632.8nm" </w:instrText>
            </w:r>
            <w:r>
              <w:fldChar w:fldCharType="separate"/>
            </w:r>
            <w:r>
              <w:rPr>
                <w:rFonts w:hint="eastAsia" w:ascii="Times New Roman" w:hAnsi="Times New Roman" w:cs="Times New Roman"/>
                <w:color w:val="000000" w:themeColor="text1"/>
                <w14:textFill>
                  <w14:solidFill>
                    <w14:schemeClr w14:val="tx1"/>
                  </w14:solidFill>
                </w14:textFill>
              </w:rPr>
              <w:t>膜层折射率</w:t>
            </w:r>
            <w:r>
              <w:rPr>
                <w:rFonts w:ascii="Times New Roman" w:hAnsi="Times New Roman" w:cs="Times New Roman"/>
                <w:color w:val="000000" w:themeColor="text1"/>
                <w14:textFill>
                  <w14:solidFill>
                    <w14:schemeClr w14:val="tx1"/>
                  </w14:solidFill>
                </w14:textFill>
              </w:rPr>
              <w:t>n@632.8nm</w:t>
            </w:r>
            <w:r>
              <w:rPr>
                <w:rFonts w:ascii="Times New Roman" w:hAnsi="Times New Roman" w:cs="Times New Roman"/>
                <w:color w:val="000000" w:themeColor="text1"/>
                <w14:textFill>
                  <w14:solidFill>
                    <w14:schemeClr w14:val="tx1"/>
                  </w14:solidFill>
                </w14:textFill>
              </w:rPr>
              <w:fldChar w:fldCharType="end"/>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2.07</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0.05</w:t>
            </w:r>
          </w:p>
        </w:tc>
      </w:tr>
      <w:tr w14:paraId="050A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9008D85">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A2F81ED">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879" w:type="dxa"/>
            <w:gridSpan w:val="2"/>
            <w:vAlign w:val="center"/>
          </w:tcPr>
          <w:p w14:paraId="76443E5E">
            <w:pPr>
              <w:spacing w:line="360" w:lineRule="auto"/>
              <w:jc w:val="left"/>
              <w:rPr>
                <w:rFonts w:ascii="Times New Roman" w:hAnsi="Times New Roman" w:eastAsia="宋体" w:cs="Times New Roman"/>
                <w:sz w:val="24"/>
              </w:rPr>
            </w:pPr>
            <w:r>
              <w:rPr>
                <w:rFonts w:ascii="Times New Roman" w:hAnsi="Times New Roman" w:eastAsia="宋体" w:cs="Times New Roman"/>
                <w:b/>
                <w:color w:val="000000" w:themeColor="text1"/>
                <w:sz w:val="24"/>
                <w:szCs w:val="24"/>
                <w14:textFill>
                  <w14:solidFill>
                    <w14:schemeClr w14:val="tx1"/>
                  </w14:solidFill>
                </w14:textFill>
              </w:rPr>
              <w:t>5</w:t>
            </w:r>
            <w:r>
              <w:rPr>
                <w:rFonts w:hint="eastAsia" w:ascii="Times New Roman" w:hAnsi="Times New Roman" w:eastAsia="宋体" w:cs="Times New Roman"/>
                <w:b/>
                <w:color w:val="000000" w:themeColor="text1"/>
                <w:sz w:val="24"/>
                <w:szCs w:val="24"/>
                <w14:textFill>
                  <w14:solidFill>
                    <w14:schemeClr w14:val="tx1"/>
                  </w14:solidFill>
                </w14:textFill>
              </w:rPr>
              <w:t>：工艺验收指标</w:t>
            </w:r>
            <w:r>
              <w:rPr>
                <w:rFonts w:ascii="Times New Roman" w:hAnsi="Times New Roman" w:eastAsia="宋体" w:cs="Times New Roman"/>
                <w:b/>
                <w:color w:val="000000" w:themeColor="text1"/>
                <w:sz w:val="24"/>
                <w:szCs w:val="24"/>
                <w14:textFill>
                  <w14:solidFill>
                    <w14:schemeClr w14:val="tx1"/>
                  </w14:solidFill>
                </w14:textFill>
              </w:rPr>
              <w:t>-SiOx</w:t>
            </w:r>
          </w:p>
        </w:tc>
      </w:tr>
      <w:tr w14:paraId="50AA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E45CF85">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3A8ABA3">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7EEF815D">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3EB21B6A">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厚度偏差：</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0.2nm@10nm</w:t>
            </w:r>
            <w:r>
              <w:rPr>
                <w:rFonts w:hint="eastAsia" w:ascii="Times New Roman" w:hAnsi="Times New Roman" w:eastAsia="宋体" w:cs="Times New Roman"/>
                <w:color w:val="000000" w:themeColor="text1"/>
                <w:sz w:val="24"/>
                <w:szCs w:val="24"/>
                <w14:textFill>
                  <w14:solidFill>
                    <w14:schemeClr w14:val="tx1"/>
                  </w14:solidFill>
                </w14:textFill>
              </w:rPr>
              <w:t>沉积厚度</w:t>
            </w:r>
          </w:p>
        </w:tc>
      </w:tr>
      <w:tr w14:paraId="0C85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B62AFFB">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9E81BEE">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47D8E2A4">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0F08BF76">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片内厚度均匀性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eastAsia="宋体" w:cs="Times New Roman"/>
                <w:color w:val="000000" w:themeColor="text1"/>
                <w:sz w:val="24"/>
                <w:szCs w:val="24"/>
                <w14:textFill>
                  <w14:solidFill>
                    <w14:schemeClr w14:val="tx1"/>
                  </w14:solidFill>
                </w14:textFill>
              </w:rPr>
              <w:t>；</w:t>
            </w:r>
          </w:p>
          <w:p w14:paraId="7D9B0584">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（测量时去边</w:t>
            </w:r>
            <w:r>
              <w:rPr>
                <w:rFonts w:ascii="Times New Roman" w:hAnsi="Times New Roman" w:eastAsia="宋体" w:cs="Times New Roman"/>
                <w:color w:val="000000" w:themeColor="text1"/>
                <w:sz w:val="24"/>
                <w:szCs w:val="24"/>
                <w14:textFill>
                  <w14:solidFill>
                    <w14:schemeClr w14:val="tx1"/>
                  </w14:solidFill>
                </w14:textFill>
              </w:rPr>
              <w:t>3mm，</w:t>
            </w:r>
            <w:r>
              <w:rPr>
                <w:rFonts w:hint="eastAsia" w:ascii="Times New Roman" w:hAnsi="Times New Roman" w:eastAsia="宋体" w:cs="Times New Roman"/>
                <w:color w:val="000000" w:themeColor="text1"/>
                <w:sz w:val="24"/>
                <w:szCs w:val="24"/>
                <w14:textFill>
                  <w14:solidFill>
                    <w14:schemeClr w14:val="tx1"/>
                  </w14:solidFill>
                </w14:textFill>
              </w:rPr>
              <w:t>选取</w:t>
            </w:r>
            <w:r>
              <w:rPr>
                <w:rFonts w:ascii="Times New Roman" w:hAnsi="Times New Roman" w:eastAsia="宋体" w:cs="Times New Roman"/>
                <w:color w:val="000000" w:themeColor="text1"/>
                <w:sz w:val="24"/>
                <w:szCs w:val="24"/>
                <w14:textFill>
                  <w14:solidFill>
                    <w14:schemeClr w14:val="tx1"/>
                  </w14:solidFill>
                </w14:textFill>
              </w:rPr>
              <w:t>97</w:t>
            </w:r>
            <w:r>
              <w:rPr>
                <w:rFonts w:hint="eastAsia" w:ascii="Times New Roman" w:hAnsi="Times New Roman" w:eastAsia="宋体" w:cs="Times New Roman"/>
                <w:color w:val="000000" w:themeColor="text1"/>
                <w:sz w:val="24"/>
                <w:szCs w:val="24"/>
                <w14:textFill>
                  <w14:solidFill>
                    <w14:schemeClr w14:val="tx1"/>
                  </w14:solidFill>
                </w14:textFill>
              </w:rPr>
              <w:t>个点测量，取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1AFF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5AB57CD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167DA1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AAAB6FC">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5C49DDA5">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片间均匀性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eastAsia="宋体" w:cs="Times New Roman"/>
                <w:color w:val="000000" w:themeColor="text1"/>
                <w:sz w:val="24"/>
                <w:szCs w:val="24"/>
                <w14:textFill>
                  <w14:solidFill>
                    <w14:schemeClr w14:val="tx1"/>
                  </w14:solidFill>
                </w14:textFill>
              </w:rPr>
              <w:t>；</w:t>
            </w:r>
          </w:p>
          <w:p w14:paraId="6ACC65F9">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（测量不少于</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片，取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5CC13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0544E87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C677430">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7A319B98">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vAlign w:val="center"/>
          </w:tcPr>
          <w:p w14:paraId="65DB09F5">
            <w:pPr>
              <w:spacing w:line="360" w:lineRule="auto"/>
              <w:rPr>
                <w:rFonts w:ascii="Times New Roman" w:hAnsi="Times New Roman" w:eastAsia="宋体" w:cs="Times New Roman"/>
                <w:sz w:val="24"/>
                <w:szCs w:val="24"/>
              </w:rPr>
            </w:pPr>
            <w:r>
              <w:fldChar w:fldCharType="begin"/>
            </w:r>
            <w:r>
              <w:instrText xml:space="preserve"> HYPERLINK "mailto:膜层折射率n@632.8nm" </w:instrText>
            </w:r>
            <w:r>
              <w:fldChar w:fldCharType="separate"/>
            </w:r>
            <w:r>
              <w:rPr>
                <w:rFonts w:hint="eastAsia" w:ascii="Times New Roman" w:hAnsi="Times New Roman" w:cs="Times New Roman"/>
                <w:color w:val="000000" w:themeColor="text1"/>
                <w14:textFill>
                  <w14:solidFill>
                    <w14:schemeClr w14:val="tx1"/>
                  </w14:solidFill>
                </w14:textFill>
              </w:rPr>
              <w:t>膜层折射率</w:t>
            </w:r>
            <w:r>
              <w:rPr>
                <w:rFonts w:ascii="Times New Roman" w:hAnsi="Times New Roman" w:cs="Times New Roman"/>
                <w:color w:val="000000" w:themeColor="text1"/>
                <w14:textFill>
                  <w14:solidFill>
                    <w14:schemeClr w14:val="tx1"/>
                  </w14:solidFill>
                </w14:textFill>
              </w:rPr>
              <w:t>n@632.8nm</w:t>
            </w:r>
            <w:r>
              <w:rPr>
                <w:rFonts w:ascii="Times New Roman" w:hAnsi="Times New Roman" w:cs="Times New Roman"/>
                <w:color w:val="000000" w:themeColor="text1"/>
                <w14:textFill>
                  <w14:solidFill>
                    <w14:schemeClr w14:val="tx1"/>
                  </w14:solidFill>
                </w14:textFill>
              </w:rPr>
              <w:fldChar w:fldCharType="end"/>
            </w:r>
            <w:r>
              <w:rPr>
                <w:rFonts w:hint="eastAsia" w:ascii="Times New Roman" w:hAnsi="Times New Roman" w:eastAsia="宋体" w:cs="Times New Roman"/>
                <w:color w:val="000000" w:themeColor="text1"/>
                <w:sz w:val="24"/>
                <w:szCs w:val="24"/>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1.46</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0.05</w:t>
            </w:r>
          </w:p>
        </w:tc>
      </w:tr>
      <w:tr w14:paraId="0A21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4259E5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69632E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1DE48D73">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5</w:t>
            </w:r>
          </w:p>
        </w:tc>
        <w:tc>
          <w:tcPr>
            <w:tcW w:w="7130" w:type="dxa"/>
            <w:vAlign w:val="center"/>
          </w:tcPr>
          <w:p w14:paraId="2E10FDA2">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每个循环沉积的厚度（</w:t>
            </w:r>
            <w:r>
              <w:rPr>
                <w:rFonts w:ascii="Times New Roman" w:hAnsi="Times New Roman" w:eastAsia="宋体" w:cs="Times New Roman"/>
                <w:color w:val="000000" w:themeColor="text1"/>
                <w:sz w:val="24"/>
                <w:szCs w:val="24"/>
                <w14:textFill>
                  <w14:solidFill>
                    <w14:schemeClr w14:val="tx1"/>
                  </w14:solidFill>
                </w14:textFill>
              </w:rPr>
              <w:t>GPC</w:t>
            </w:r>
            <w:r>
              <w:rPr>
                <w:rFonts w:hint="eastAsia"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0.075nm/</w:t>
            </w:r>
            <w:r>
              <w:rPr>
                <w:rFonts w:hint="eastAsia" w:ascii="Times New Roman" w:hAnsi="Times New Roman" w:eastAsia="宋体" w:cs="Times New Roman"/>
                <w:color w:val="000000" w:themeColor="text1"/>
                <w:sz w:val="24"/>
                <w:szCs w:val="24"/>
                <w14:textFill>
                  <w14:solidFill>
                    <w14:schemeClr w14:val="tx1"/>
                  </w14:solidFill>
                </w14:textFill>
              </w:rPr>
              <w:t>循环；</w:t>
            </w:r>
          </w:p>
          <w:p w14:paraId="13ED1081">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（检测方法：沉积</w:t>
            </w:r>
            <w:r>
              <w:rPr>
                <w:rFonts w:ascii="Times New Roman" w:hAnsi="Times New Roman" w:eastAsia="宋体" w:cs="Times New Roman"/>
                <w:color w:val="000000" w:themeColor="text1"/>
                <w:sz w:val="24"/>
                <w:szCs w:val="24"/>
                <w14:textFill>
                  <w14:solidFill>
                    <w14:schemeClr w14:val="tx1"/>
                  </w14:solidFill>
                </w14:textFill>
              </w:rPr>
              <w:t>200</w:t>
            </w:r>
            <w:r>
              <w:rPr>
                <w:rFonts w:hint="eastAsia" w:ascii="Times New Roman" w:hAnsi="Times New Roman" w:eastAsia="宋体" w:cs="Times New Roman"/>
                <w:color w:val="000000" w:themeColor="text1"/>
                <w:sz w:val="24"/>
                <w:szCs w:val="24"/>
                <w14:textFill>
                  <w14:solidFill>
                    <w14:schemeClr w14:val="tx1"/>
                  </w14:solidFill>
                </w14:textFill>
              </w:rPr>
              <w:t>个循环，测量膜层厚度计算单个循环沉积厚度）</w:t>
            </w:r>
          </w:p>
        </w:tc>
      </w:tr>
      <w:tr w14:paraId="025F4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4288B7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80B108F">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12F441A5">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6</w:t>
            </w:r>
          </w:p>
        </w:tc>
        <w:tc>
          <w:tcPr>
            <w:tcW w:w="7130" w:type="dxa"/>
            <w:vAlign w:val="center"/>
          </w:tcPr>
          <w:p w14:paraId="6255BF7D">
            <w:pPr>
              <w:spacing w:line="360" w:lineRule="auto"/>
              <w:rPr>
                <w:rFonts w:ascii="Times New Roman" w:hAnsi="Times New Roman" w:eastAsia="宋体" w:cs="Times New Roman"/>
                <w:sz w:val="24"/>
              </w:rPr>
            </w:pPr>
            <w:r>
              <w:rPr>
                <w:rFonts w:hint="eastAsia" w:ascii="Times New Roman" w:hAnsi="Times New Roman" w:eastAsia="宋体" w:cs="Times New Roman"/>
                <w:sz w:val="24"/>
              </w:rPr>
              <w:t>台阶覆盖率（图形深宽比≥</w:t>
            </w:r>
            <w:r>
              <w:rPr>
                <w:rFonts w:ascii="Times New Roman" w:hAnsi="Times New Roman" w:eastAsia="宋体" w:cs="Times New Roman"/>
                <w:sz w:val="24"/>
              </w:rPr>
              <w:t>3</w:t>
            </w:r>
            <w:r>
              <w:rPr>
                <w:rFonts w:hint="eastAsia" w:ascii="Times New Roman" w:hAnsi="Times New Roman" w:eastAsia="宋体" w:cs="Times New Roman"/>
                <w:sz w:val="24"/>
              </w:rPr>
              <w:t>、沟槽</w:t>
            </w:r>
            <w:r>
              <w:rPr>
                <w:rFonts w:ascii="Times New Roman" w:hAnsi="Times New Roman" w:eastAsia="宋体" w:cs="Times New Roman"/>
                <w:sz w:val="24"/>
              </w:rPr>
              <w:t>CD</w:t>
            </w:r>
            <w:r>
              <w:rPr>
                <w:rFonts w:ascii="Times New Roman" w:hAnsi="Times New Roman" w:eastAsia="宋体" w:cs="Times New Roman"/>
                <w:sz w:val="24"/>
              </w:rPr>
              <w:sym w:font="Symbol" w:char="F0A3"/>
            </w:r>
            <w:r>
              <w:rPr>
                <w:rFonts w:ascii="Times New Roman" w:hAnsi="Times New Roman" w:eastAsia="宋体" w:cs="Times New Roman"/>
                <w:sz w:val="24"/>
              </w:rPr>
              <w:t>100nm</w:t>
            </w:r>
            <w:r>
              <w:rPr>
                <w:rFonts w:hint="eastAsia" w:ascii="Times New Roman" w:hAnsi="Times New Roman" w:eastAsia="宋体" w:cs="Times New Roman"/>
                <w:sz w:val="24"/>
              </w:rPr>
              <w:t>时）≥</w:t>
            </w:r>
            <w:r>
              <w:rPr>
                <w:rFonts w:ascii="Times New Roman" w:hAnsi="Times New Roman" w:eastAsia="宋体" w:cs="Times New Roman"/>
                <w:sz w:val="24"/>
              </w:rPr>
              <w:t>99%</w:t>
            </w:r>
            <w:r>
              <w:rPr>
                <w:rFonts w:hint="eastAsia" w:ascii="Times New Roman" w:hAnsi="Times New Roman" w:eastAsia="宋体" w:cs="Times New Roman"/>
                <w:sz w:val="24"/>
              </w:rPr>
              <w:t>；</w:t>
            </w:r>
          </w:p>
          <w:p w14:paraId="7F483035">
            <w:pPr>
              <w:spacing w:line="360" w:lineRule="auto"/>
              <w:rPr>
                <w:rFonts w:ascii="Times New Roman" w:hAnsi="Times New Roman" w:eastAsia="宋体" w:cs="Times New Roman"/>
                <w:sz w:val="24"/>
              </w:rPr>
            </w:pPr>
            <w:r>
              <w:rPr>
                <w:rFonts w:hint="eastAsia" w:ascii="Times New Roman" w:hAnsi="Times New Roman" w:eastAsia="宋体" w:cs="Times New Roman"/>
                <w:sz w:val="24"/>
              </w:rPr>
              <w:t>（计算方法：台阶覆盖率</w:t>
            </w:r>
            <w:r>
              <w:rPr>
                <w:rFonts w:ascii="Times New Roman" w:hAnsi="Times New Roman" w:eastAsia="宋体" w:cs="Times New Roman"/>
                <w:sz w:val="24"/>
              </w:rPr>
              <w:t>=</w:t>
            </w:r>
            <w:r>
              <w:rPr>
                <w:rFonts w:hint="eastAsia" w:ascii="Times New Roman" w:hAnsi="Times New Roman" w:eastAsia="宋体" w:cs="Times New Roman"/>
                <w:sz w:val="24"/>
              </w:rPr>
              <w:t>沟槽底部沉积的厚度</w:t>
            </w:r>
            <w:r>
              <w:rPr>
                <w:rFonts w:ascii="Times New Roman" w:hAnsi="Times New Roman" w:eastAsia="宋体" w:cs="Times New Roman"/>
                <w:sz w:val="24"/>
              </w:rPr>
              <w:t>/</w:t>
            </w:r>
            <w:r>
              <w:rPr>
                <w:rFonts w:hint="eastAsia" w:ascii="Times New Roman" w:hAnsi="Times New Roman" w:eastAsia="宋体" w:cs="Times New Roman"/>
                <w:sz w:val="24"/>
              </w:rPr>
              <w:t>顶部沉积的厚度</w:t>
            </w:r>
            <w:r>
              <w:rPr>
                <w:rFonts w:ascii="Times New Roman" w:hAnsi="Times New Roman" w:eastAsia="宋体" w:cs="Times New Roman"/>
                <w:sz w:val="24"/>
              </w:rPr>
              <w:t>×100%</w:t>
            </w:r>
            <w:r>
              <w:rPr>
                <w:rFonts w:hint="eastAsia" w:ascii="Times New Roman" w:hAnsi="Times New Roman" w:eastAsia="宋体" w:cs="Times New Roman"/>
                <w:sz w:val="24"/>
              </w:rPr>
              <w:t>）。</w:t>
            </w:r>
          </w:p>
        </w:tc>
      </w:tr>
      <w:tr w14:paraId="7A5A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6593EF5">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7904BB03">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508273D1">
            <w:pPr>
              <w:spacing w:line="360" w:lineRule="auto"/>
              <w:jc w:val="center"/>
              <w:rPr>
                <w:rFonts w:ascii="Times New Roman" w:hAnsi="Times New Roman" w:eastAsia="宋体" w:cs="Times New Roman"/>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bCs/>
                <w:color w:val="000000" w:themeColor="text1"/>
                <w:kern w:val="0"/>
                <w:sz w:val="24"/>
                <w:szCs w:val="24"/>
                <w:lang w:val="zh-CN"/>
                <w14:textFill>
                  <w14:solidFill>
                    <w14:schemeClr w14:val="tx1"/>
                  </w14:solidFill>
                </w14:textFill>
              </w:rPr>
              <w:t>7</w:t>
            </w:r>
          </w:p>
        </w:tc>
        <w:tc>
          <w:tcPr>
            <w:tcW w:w="7130" w:type="dxa"/>
            <w:vAlign w:val="center"/>
          </w:tcPr>
          <w:p w14:paraId="73F3A202">
            <w:pPr>
              <w:spacing w:line="360" w:lineRule="auto"/>
              <w:rPr>
                <w:rFonts w:ascii="Times New Roman" w:hAnsi="Times New Roman" w:eastAsia="宋体" w:cs="Times New Roman"/>
                <w:sz w:val="24"/>
              </w:rPr>
            </w:pPr>
            <w:r>
              <w:rPr>
                <w:rFonts w:hint="eastAsia" w:ascii="Times New Roman" w:hAnsi="Times New Roman" w:eastAsia="宋体" w:cs="Times New Roman"/>
                <w:sz w:val="24"/>
              </w:rPr>
              <w:t>应力：</w:t>
            </w:r>
            <w:r>
              <w:rPr>
                <w:rFonts w:ascii="Times New Roman" w:hAnsi="Times New Roman" w:eastAsia="宋体" w:cs="Times New Roman"/>
                <w:sz w:val="24"/>
              </w:rPr>
              <w:t>-400MPa ~0MPa</w:t>
            </w:r>
          </w:p>
        </w:tc>
      </w:tr>
      <w:tr w14:paraId="45EA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C8814D4">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78F9F5E">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879" w:type="dxa"/>
            <w:gridSpan w:val="2"/>
            <w:vAlign w:val="center"/>
          </w:tcPr>
          <w:p w14:paraId="3B936482">
            <w:pPr>
              <w:spacing w:line="360" w:lineRule="auto"/>
              <w:jc w:val="left"/>
              <w:rPr>
                <w:rFonts w:ascii="Times New Roman" w:hAnsi="Times New Roman" w:eastAsia="宋体" w:cs="Times New Roman"/>
                <w:sz w:val="24"/>
              </w:rPr>
            </w:pPr>
            <w:r>
              <w:rPr>
                <w:rFonts w:ascii="Times New Roman" w:hAnsi="Times New Roman" w:eastAsia="宋体" w:cs="Times New Roman"/>
                <w:b/>
                <w:color w:val="000000" w:themeColor="text1"/>
                <w:sz w:val="24"/>
                <w:szCs w:val="24"/>
                <w14:textFill>
                  <w14:solidFill>
                    <w14:schemeClr w14:val="tx1"/>
                  </w14:solidFill>
                </w14:textFill>
              </w:rPr>
              <w:t>6</w:t>
            </w:r>
            <w:r>
              <w:rPr>
                <w:rFonts w:hint="eastAsia" w:ascii="Times New Roman" w:hAnsi="Times New Roman" w:eastAsia="宋体" w:cs="Times New Roman"/>
                <w:b/>
                <w:color w:val="000000" w:themeColor="text1"/>
                <w:sz w:val="24"/>
                <w:szCs w:val="24"/>
                <w14:textFill>
                  <w14:solidFill>
                    <w14:schemeClr w14:val="tx1"/>
                  </w14:solidFill>
                </w14:textFill>
              </w:rPr>
              <w:t>：工艺验收指标</w:t>
            </w:r>
            <w:r>
              <w:rPr>
                <w:rFonts w:ascii="Times New Roman" w:hAnsi="Times New Roman" w:eastAsia="宋体" w:cs="Times New Roman"/>
                <w:b/>
                <w:color w:val="000000" w:themeColor="text1"/>
                <w:sz w:val="24"/>
                <w:szCs w:val="24"/>
                <w14:textFill>
                  <w14:solidFill>
                    <w14:schemeClr w14:val="tx1"/>
                  </w14:solidFill>
                </w14:textFill>
              </w:rPr>
              <w:t>-SiNx</w:t>
            </w:r>
          </w:p>
        </w:tc>
      </w:tr>
      <w:tr w14:paraId="4FDF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866C1AB">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BDD8E83">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D8A41B0">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0883FB52">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厚度偏差：</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0.2nm@10nm</w:t>
            </w:r>
            <w:r>
              <w:rPr>
                <w:rFonts w:hint="eastAsia" w:ascii="Times New Roman" w:hAnsi="Times New Roman" w:eastAsia="宋体" w:cs="Times New Roman"/>
                <w:color w:val="000000" w:themeColor="text1"/>
                <w:sz w:val="24"/>
                <w:szCs w:val="24"/>
                <w14:textFill>
                  <w14:solidFill>
                    <w14:schemeClr w14:val="tx1"/>
                  </w14:solidFill>
                </w14:textFill>
              </w:rPr>
              <w:t>沉积厚度</w:t>
            </w:r>
          </w:p>
        </w:tc>
      </w:tr>
      <w:tr w14:paraId="6A1C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B323C9C">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532603BF">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0FE884B7">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677BDF5D">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片内厚度均匀性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eastAsia="宋体" w:cs="Times New Roman"/>
                <w:color w:val="000000" w:themeColor="text1"/>
                <w:sz w:val="24"/>
                <w:szCs w:val="24"/>
                <w14:textFill>
                  <w14:solidFill>
                    <w14:schemeClr w14:val="tx1"/>
                  </w14:solidFill>
                </w14:textFill>
              </w:rPr>
              <w:t>；</w:t>
            </w:r>
          </w:p>
          <w:p w14:paraId="1F85A5E6">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（测量时去边</w:t>
            </w:r>
            <w:r>
              <w:rPr>
                <w:rFonts w:ascii="Times New Roman" w:hAnsi="Times New Roman" w:eastAsia="宋体" w:cs="Times New Roman"/>
                <w:color w:val="000000" w:themeColor="text1"/>
                <w:sz w:val="24"/>
                <w:szCs w:val="24"/>
                <w14:textFill>
                  <w14:solidFill>
                    <w14:schemeClr w14:val="tx1"/>
                  </w14:solidFill>
                </w14:textFill>
              </w:rPr>
              <w:t>3mm，</w:t>
            </w:r>
            <w:r>
              <w:rPr>
                <w:rFonts w:hint="eastAsia" w:ascii="Times New Roman" w:hAnsi="Times New Roman" w:eastAsia="宋体" w:cs="Times New Roman"/>
                <w:color w:val="000000" w:themeColor="text1"/>
                <w:sz w:val="24"/>
                <w:szCs w:val="24"/>
                <w14:textFill>
                  <w14:solidFill>
                    <w14:schemeClr w14:val="tx1"/>
                  </w14:solidFill>
                </w14:textFill>
              </w:rPr>
              <w:t>选取</w:t>
            </w:r>
            <w:r>
              <w:rPr>
                <w:rFonts w:ascii="Times New Roman" w:hAnsi="Times New Roman" w:eastAsia="宋体" w:cs="Times New Roman"/>
                <w:color w:val="000000" w:themeColor="text1"/>
                <w:sz w:val="24"/>
                <w:szCs w:val="24"/>
                <w14:textFill>
                  <w14:solidFill>
                    <w14:schemeClr w14:val="tx1"/>
                  </w14:solidFill>
                </w14:textFill>
              </w:rPr>
              <w:t>49</w:t>
            </w:r>
            <w:r>
              <w:rPr>
                <w:rFonts w:hint="eastAsia" w:ascii="Times New Roman" w:hAnsi="Times New Roman" w:eastAsia="宋体" w:cs="Times New Roman"/>
                <w:color w:val="000000" w:themeColor="text1"/>
                <w:sz w:val="24"/>
                <w:szCs w:val="24"/>
                <w14:textFill>
                  <w14:solidFill>
                    <w14:schemeClr w14:val="tx1"/>
                  </w14:solidFill>
                </w14:textFill>
              </w:rPr>
              <w:t>个点测量，取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03D0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61FF90CA">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656DD75">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3F27EDDC">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09D5EB58">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片间厚度均匀性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eastAsia="宋体" w:cs="Times New Roman"/>
                <w:color w:val="000000" w:themeColor="text1"/>
                <w:sz w:val="24"/>
                <w:szCs w:val="24"/>
                <w14:textFill>
                  <w14:solidFill>
                    <w14:schemeClr w14:val="tx1"/>
                  </w14:solidFill>
                </w14:textFill>
              </w:rPr>
              <w:t>；</w:t>
            </w:r>
          </w:p>
          <w:p w14:paraId="4DAA6385">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（测量不少于</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片，取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5B1B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73C4748">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4AF5B2D">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7948D9CB">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4</w:t>
            </w:r>
          </w:p>
        </w:tc>
        <w:tc>
          <w:tcPr>
            <w:tcW w:w="7130" w:type="dxa"/>
            <w:vAlign w:val="center"/>
          </w:tcPr>
          <w:p w14:paraId="486DB814">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膜层折射率</w:t>
            </w:r>
            <w:r>
              <w:rPr>
                <w:rFonts w:ascii="Times New Roman" w:hAnsi="Times New Roman" w:eastAsia="宋体" w:cs="Times New Roman"/>
                <w:color w:val="000000" w:themeColor="text1"/>
                <w:sz w:val="24"/>
                <w:szCs w:val="24"/>
                <w14:textFill>
                  <w14:solidFill>
                    <w14:schemeClr w14:val="tx1"/>
                  </w14:solidFill>
                </w14:textFill>
              </w:rPr>
              <w:t>n@632.8nm=1.8-1.9</w:t>
            </w:r>
          </w:p>
        </w:tc>
      </w:tr>
      <w:tr w14:paraId="01A1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72ECBA9B">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296DEA1F">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2CFFFADF">
            <w:pPr>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5</w:t>
            </w:r>
          </w:p>
        </w:tc>
        <w:tc>
          <w:tcPr>
            <w:tcW w:w="7130" w:type="dxa"/>
            <w:vAlign w:val="center"/>
          </w:tcPr>
          <w:p w14:paraId="2783A46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每个循环沉积的厚度（</w:t>
            </w:r>
            <w:r>
              <w:rPr>
                <w:rFonts w:ascii="Times New Roman" w:hAnsi="Times New Roman" w:eastAsia="宋体" w:cs="Times New Roman"/>
                <w:color w:val="000000" w:themeColor="text1"/>
                <w:sz w:val="24"/>
                <w:szCs w:val="24"/>
                <w14:textFill>
                  <w14:solidFill>
                    <w14:schemeClr w14:val="tx1"/>
                  </w14:solidFill>
                </w14:textFill>
              </w:rPr>
              <w:t>GPC</w:t>
            </w:r>
            <w:r>
              <w:rPr>
                <w:rFonts w:hint="eastAsia"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0.065nm/</w:t>
            </w:r>
            <w:r>
              <w:rPr>
                <w:rFonts w:hint="eastAsia" w:ascii="Times New Roman" w:hAnsi="Times New Roman" w:eastAsia="宋体" w:cs="Times New Roman"/>
                <w:color w:val="000000" w:themeColor="text1"/>
                <w:sz w:val="24"/>
                <w:szCs w:val="24"/>
                <w14:textFill>
                  <w14:solidFill>
                    <w14:schemeClr w14:val="tx1"/>
                  </w14:solidFill>
                </w14:textFill>
              </w:rPr>
              <w:t>循环；</w:t>
            </w:r>
          </w:p>
          <w:p w14:paraId="726BA521">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（检测方法：沉积</w:t>
            </w:r>
            <w:r>
              <w:rPr>
                <w:rFonts w:ascii="Times New Roman" w:hAnsi="Times New Roman" w:eastAsia="宋体" w:cs="Times New Roman"/>
                <w:color w:val="000000" w:themeColor="text1"/>
                <w:sz w:val="24"/>
                <w:szCs w:val="24"/>
                <w14:textFill>
                  <w14:solidFill>
                    <w14:schemeClr w14:val="tx1"/>
                  </w14:solidFill>
                </w14:textFill>
              </w:rPr>
              <w:t>200</w:t>
            </w:r>
            <w:r>
              <w:rPr>
                <w:rFonts w:hint="eastAsia" w:ascii="Times New Roman" w:hAnsi="Times New Roman" w:eastAsia="宋体" w:cs="Times New Roman"/>
                <w:color w:val="000000" w:themeColor="text1"/>
                <w:sz w:val="24"/>
                <w:szCs w:val="24"/>
                <w14:textFill>
                  <w14:solidFill>
                    <w14:schemeClr w14:val="tx1"/>
                  </w14:solidFill>
                </w14:textFill>
              </w:rPr>
              <w:t>个循环，测量膜层厚度计算单个循环沉积厚度）</w:t>
            </w:r>
          </w:p>
        </w:tc>
      </w:tr>
      <w:tr w14:paraId="66EB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171903E3">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4F52E74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879" w:type="dxa"/>
            <w:gridSpan w:val="2"/>
            <w:vAlign w:val="center"/>
          </w:tcPr>
          <w:p w14:paraId="4EF3004E">
            <w:pPr>
              <w:spacing w:line="360" w:lineRule="auto"/>
              <w:rPr>
                <w:rFonts w:ascii="Times New Roman" w:hAnsi="Times New Roman" w:eastAsia="宋体" w:cs="Times New Roman"/>
                <w:sz w:val="24"/>
              </w:rPr>
            </w:pPr>
            <w:r>
              <w:rPr>
                <w:rFonts w:ascii="Times New Roman" w:hAnsi="Times New Roman" w:eastAsia="宋体" w:cs="Times New Roman"/>
                <w:b/>
                <w:color w:val="000000" w:themeColor="text1"/>
                <w:sz w:val="24"/>
                <w:szCs w:val="24"/>
                <w14:textFill>
                  <w14:solidFill>
                    <w14:schemeClr w14:val="tx1"/>
                  </w14:solidFill>
                </w14:textFill>
              </w:rPr>
              <w:t>7</w:t>
            </w:r>
            <w:r>
              <w:rPr>
                <w:rFonts w:hint="eastAsia" w:ascii="Times New Roman" w:hAnsi="Times New Roman" w:eastAsia="宋体" w:cs="Times New Roman"/>
                <w:b/>
                <w:color w:val="000000" w:themeColor="text1"/>
                <w:sz w:val="24"/>
                <w:szCs w:val="24"/>
                <w14:textFill>
                  <w14:solidFill>
                    <w14:schemeClr w14:val="tx1"/>
                  </w14:solidFill>
                </w14:textFill>
              </w:rPr>
              <w:t>：工艺验收指标</w:t>
            </w:r>
            <w:r>
              <w:rPr>
                <w:rFonts w:ascii="Times New Roman" w:hAnsi="Times New Roman" w:eastAsia="宋体" w:cs="Times New Roman"/>
                <w:b/>
                <w:color w:val="000000" w:themeColor="text1"/>
                <w:sz w:val="24"/>
                <w:szCs w:val="24"/>
                <w14:textFill>
                  <w14:solidFill>
                    <w14:schemeClr w14:val="tx1"/>
                  </w14:solidFill>
                </w14:textFill>
              </w:rPr>
              <w:t>-AlNx</w:t>
            </w:r>
          </w:p>
        </w:tc>
      </w:tr>
      <w:tr w14:paraId="45AD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3FAC78BB">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6055F984">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7E541F2D">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1</w:t>
            </w:r>
          </w:p>
        </w:tc>
        <w:tc>
          <w:tcPr>
            <w:tcW w:w="7130" w:type="dxa"/>
            <w:vAlign w:val="center"/>
          </w:tcPr>
          <w:p w14:paraId="293E94FD">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厚度偏差：</w:t>
            </w:r>
            <w:r>
              <w:rPr>
                <w:rFonts w:ascii="Times New Roman" w:hAnsi="Times New Roman" w:eastAsia="宋体" w:cs="Times New Roman"/>
                <w:color w:val="000000" w:themeColor="text1"/>
                <w:sz w:val="24"/>
                <w:szCs w:val="24"/>
                <w14:textFill>
                  <w14:solidFill>
                    <w14:schemeClr w14:val="tx1"/>
                  </w14:solidFill>
                </w14:textFill>
              </w:rPr>
              <w:sym w:font="Symbol" w:char="F0B1"/>
            </w:r>
            <w:r>
              <w:rPr>
                <w:rFonts w:ascii="Times New Roman" w:hAnsi="Times New Roman" w:eastAsia="宋体" w:cs="Times New Roman"/>
                <w:color w:val="000000" w:themeColor="text1"/>
                <w:sz w:val="24"/>
                <w:szCs w:val="24"/>
                <w14:textFill>
                  <w14:solidFill>
                    <w14:schemeClr w14:val="tx1"/>
                  </w14:solidFill>
                </w14:textFill>
              </w:rPr>
              <w:t>0.2nm@10nm</w:t>
            </w:r>
            <w:r>
              <w:rPr>
                <w:rFonts w:hint="eastAsia" w:ascii="Times New Roman" w:hAnsi="Times New Roman" w:eastAsia="宋体" w:cs="Times New Roman"/>
                <w:color w:val="000000" w:themeColor="text1"/>
                <w:sz w:val="24"/>
                <w:szCs w:val="24"/>
                <w14:textFill>
                  <w14:solidFill>
                    <w14:schemeClr w14:val="tx1"/>
                  </w14:solidFill>
                </w14:textFill>
              </w:rPr>
              <w:t>沉积厚度</w:t>
            </w:r>
          </w:p>
        </w:tc>
      </w:tr>
      <w:tr w14:paraId="296A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43DF4152">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0DF70700">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4E005311">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hint="eastAsia" w:ascii="Segoe UI Symbol" w:hAnsi="Segoe UI Symbol" w:eastAsia="宋体" w:cs="Segoe UI Symbol"/>
                <w:b/>
                <w:bCs/>
                <w:color w:val="000000" w:themeColor="text1"/>
                <w:kern w:val="0"/>
                <w:sz w:val="24"/>
                <w:szCs w:val="24"/>
                <w:lang w:val="zh-CN"/>
                <w14:textFill>
                  <w14:solidFill>
                    <w14:schemeClr w14:val="tx1"/>
                  </w14:solidFill>
                </w14:textFill>
              </w:rPr>
              <w:t>★</w:t>
            </w:r>
            <w:r>
              <w:rPr>
                <w:rFonts w:ascii="Times New Roman" w:hAnsi="Times New Roman" w:eastAsia="宋体" w:cs="Times New Roman"/>
                <w:color w:val="000000" w:themeColor="text1"/>
                <w:sz w:val="24"/>
                <w:szCs w:val="24"/>
                <w14:textFill>
                  <w14:solidFill>
                    <w14:schemeClr w14:val="tx1"/>
                  </w14:solidFill>
                </w14:textFill>
              </w:rPr>
              <w:t>2</w:t>
            </w:r>
          </w:p>
        </w:tc>
        <w:tc>
          <w:tcPr>
            <w:tcW w:w="7130" w:type="dxa"/>
            <w:vAlign w:val="center"/>
          </w:tcPr>
          <w:p w14:paraId="2E49BF37">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片内厚度均匀性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w:t>
            </w:r>
          </w:p>
          <w:p w14:paraId="66466220">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（测量时去边</w:t>
            </w:r>
            <w:r>
              <w:rPr>
                <w:rFonts w:ascii="Times New Roman" w:hAnsi="Times New Roman" w:eastAsia="宋体" w:cs="Times New Roman"/>
                <w:color w:val="000000" w:themeColor="text1"/>
                <w:sz w:val="24"/>
                <w:szCs w:val="24"/>
                <w14:textFill>
                  <w14:solidFill>
                    <w14:schemeClr w14:val="tx1"/>
                  </w14:solidFill>
                </w14:textFill>
              </w:rPr>
              <w:t>3mm，</w:t>
            </w:r>
            <w:r>
              <w:rPr>
                <w:rFonts w:hint="eastAsia" w:ascii="Times New Roman" w:hAnsi="Times New Roman" w:eastAsia="宋体" w:cs="Times New Roman"/>
                <w:color w:val="000000" w:themeColor="text1"/>
                <w:sz w:val="24"/>
                <w:szCs w:val="24"/>
                <w14:textFill>
                  <w14:solidFill>
                    <w14:schemeClr w14:val="tx1"/>
                  </w14:solidFill>
                </w14:textFill>
              </w:rPr>
              <w:t>选取</w:t>
            </w:r>
            <w:r>
              <w:rPr>
                <w:rFonts w:ascii="Times New Roman" w:hAnsi="Times New Roman" w:eastAsia="宋体" w:cs="Times New Roman"/>
                <w:color w:val="000000" w:themeColor="text1"/>
                <w:sz w:val="24"/>
                <w:szCs w:val="24"/>
                <w14:textFill>
                  <w14:solidFill>
                    <w14:schemeClr w14:val="tx1"/>
                  </w14:solidFill>
                </w14:textFill>
              </w:rPr>
              <w:t>49</w:t>
            </w:r>
            <w:r>
              <w:rPr>
                <w:rFonts w:hint="eastAsia" w:ascii="Times New Roman" w:hAnsi="Times New Roman" w:eastAsia="宋体" w:cs="Times New Roman"/>
                <w:color w:val="000000" w:themeColor="text1"/>
                <w:sz w:val="24"/>
                <w:szCs w:val="24"/>
                <w14:textFill>
                  <w14:solidFill>
                    <w14:schemeClr w14:val="tx1"/>
                  </w14:solidFill>
                </w14:textFill>
              </w:rPr>
              <w:t>个点测量，取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tr w14:paraId="5B21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8" w:type="dxa"/>
            <w:vMerge w:val="continue"/>
            <w:vAlign w:val="center"/>
          </w:tcPr>
          <w:p w14:paraId="2A95F397">
            <w:pPr>
              <w:widowControl/>
              <w:spacing w:line="360" w:lineRule="auto"/>
              <w:jc w:val="center"/>
              <w:rPr>
                <w:rFonts w:ascii="Times New Roman" w:hAnsi="Times New Roman" w:eastAsia="宋体" w:cs="Times New Roman"/>
                <w:color w:val="000000" w:themeColor="text1"/>
                <w:sz w:val="24"/>
                <w:szCs w:val="24"/>
                <w14:textFill>
                  <w14:solidFill>
                    <w14:schemeClr w14:val="tx1"/>
                  </w14:solidFill>
                </w14:textFill>
              </w:rPr>
            </w:pPr>
          </w:p>
        </w:tc>
        <w:tc>
          <w:tcPr>
            <w:tcW w:w="1051" w:type="dxa"/>
            <w:vMerge w:val="continue"/>
            <w:vAlign w:val="center"/>
          </w:tcPr>
          <w:p w14:paraId="1E1A21C1">
            <w:pPr>
              <w:widowControl/>
              <w:spacing w:line="360" w:lineRule="auto"/>
              <w:ind w:firstLine="120" w:firstLineChars="50"/>
              <w:rPr>
                <w:rFonts w:ascii="Times New Roman" w:hAnsi="Times New Roman" w:eastAsia="宋体" w:cs="Times New Roman"/>
                <w:color w:val="000000" w:themeColor="text1"/>
                <w:sz w:val="24"/>
                <w:szCs w:val="24"/>
                <w14:textFill>
                  <w14:solidFill>
                    <w14:schemeClr w14:val="tx1"/>
                  </w14:solidFill>
                </w14:textFill>
              </w:rPr>
            </w:pPr>
          </w:p>
        </w:tc>
        <w:tc>
          <w:tcPr>
            <w:tcW w:w="749" w:type="dxa"/>
            <w:vAlign w:val="center"/>
          </w:tcPr>
          <w:p w14:paraId="6BCAA67A">
            <w:pPr>
              <w:spacing w:line="360" w:lineRule="auto"/>
              <w:jc w:val="center"/>
              <w:rPr>
                <w:rFonts w:ascii="Times New Roman" w:hAnsi="Times New Roman" w:eastAsia="宋体" w:cs="Times New Roman"/>
                <w:b/>
                <w:bCs/>
                <w:color w:val="000000" w:themeColor="text1"/>
                <w:kern w:val="0"/>
                <w:sz w:val="24"/>
                <w:szCs w:val="24"/>
                <w:lang w:val="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3</w:t>
            </w:r>
          </w:p>
        </w:tc>
        <w:tc>
          <w:tcPr>
            <w:tcW w:w="7130" w:type="dxa"/>
            <w:vAlign w:val="center"/>
          </w:tcPr>
          <w:p w14:paraId="54F55FE8">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片间厚度均匀性</w:t>
            </w:r>
            <w:r>
              <w:rPr>
                <w:rFonts w:hint="eastAsia" w:ascii="Times New Roman" w:hAnsi="Times New Roman" w:eastAsia="宋体" w:cs="Times New Roman"/>
                <w:sz w:val="24"/>
              </w:rPr>
              <w:t>≤</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w:t>
            </w:r>
          </w:p>
          <w:p w14:paraId="782BC66E">
            <w:pPr>
              <w:spacing w:line="360" w:lineRule="auto"/>
              <w:rPr>
                <w:rFonts w:ascii="Times New Roman" w:hAnsi="Times New Roman" w:eastAsia="宋体" w:cs="Times New Roman"/>
                <w:sz w:val="24"/>
              </w:rPr>
            </w:pPr>
            <w:r>
              <w:rPr>
                <w:rFonts w:hint="eastAsia" w:ascii="Times New Roman" w:hAnsi="Times New Roman" w:eastAsia="宋体" w:cs="Times New Roman"/>
                <w:color w:val="000000" w:themeColor="text1"/>
                <w:sz w:val="24"/>
                <w:szCs w:val="24"/>
                <w14:textFill>
                  <w14:solidFill>
                    <w14:schemeClr w14:val="tx1"/>
                  </w14:solidFill>
                </w14:textFill>
              </w:rPr>
              <w:t>（测量不少于</w:t>
            </w:r>
            <w:r>
              <w:rPr>
                <w:rFonts w:ascii="Times New Roman" w:hAnsi="Times New Roman" w:eastAsia="宋体" w:cs="Times New Roman"/>
                <w:color w:val="000000" w:themeColor="text1"/>
                <w:sz w:val="24"/>
                <w:szCs w:val="24"/>
                <w14:textFill>
                  <w14:solidFill>
                    <w14:schemeClr w14:val="tx1"/>
                  </w14:solidFill>
                </w14:textFill>
              </w:rPr>
              <w:t>5</w:t>
            </w:r>
            <w:r>
              <w:rPr>
                <w:rFonts w:hint="eastAsia" w:ascii="Times New Roman" w:hAnsi="Times New Roman" w:eastAsia="宋体" w:cs="Times New Roman"/>
                <w:color w:val="000000" w:themeColor="text1"/>
                <w:sz w:val="24"/>
                <w:szCs w:val="24"/>
                <w14:textFill>
                  <w14:solidFill>
                    <w14:schemeClr w14:val="tx1"/>
                  </w14:solidFill>
                </w14:textFill>
              </w:rPr>
              <w:t>片，取</w:t>
            </w:r>
            <w:r>
              <w:rPr>
                <w:rFonts w:ascii="Times New Roman" w:hAnsi="Times New Roman" w:eastAsia="宋体" w:cs="Times New Roman"/>
                <w:color w:val="000000" w:themeColor="text1"/>
                <w:sz w:val="24"/>
                <w:szCs w:val="24"/>
                <w14:textFill>
                  <w14:solidFill>
                    <w14:schemeClr w14:val="tx1"/>
                  </w14:solidFill>
                </w14:textFill>
              </w:rPr>
              <w:t>3</w:t>
            </w:r>
            <w:r>
              <w:rPr>
                <w:rFonts w:hint="eastAsia" w:ascii="Times New Roman" w:hAnsi="Times New Roman" w:eastAsia="宋体" w:cs="Times New Roman"/>
                <w:color w:val="000000" w:themeColor="text1"/>
                <w:sz w:val="24"/>
                <w:szCs w:val="24"/>
                <w14:textFill>
                  <w14:solidFill>
                    <w14:schemeClr w14:val="tx1"/>
                  </w14:solidFill>
                </w14:textFill>
              </w:rPr>
              <w:t>倍标准差</w:t>
            </w:r>
            <w:r>
              <w:rPr>
                <w:rFonts w:ascii="Times New Roman" w:hAnsi="Times New Roman" w:eastAsia="宋体" w:cs="Times New Roman"/>
                <w:color w:val="000000" w:themeColor="text1"/>
                <w:sz w:val="24"/>
                <w:szCs w:val="24"/>
                <w14:textFill>
                  <w14:solidFill>
                    <w14:schemeClr w14:val="tx1"/>
                  </w14:solidFill>
                </w14:textFill>
              </w:rPr>
              <w:t>3</w:t>
            </w:r>
            <w:r>
              <w:rPr>
                <w:rFonts w:ascii="Times New Roman" w:hAnsi="Times New Roman" w:eastAsia="宋体" w:cs="Times New Roman"/>
                <w:color w:val="000000" w:themeColor="text1"/>
                <w:sz w:val="24"/>
                <w:szCs w:val="24"/>
                <w14:textFill>
                  <w14:solidFill>
                    <w14:schemeClr w14:val="tx1"/>
                  </w14:solidFill>
                </w14:textFill>
              </w:rPr>
              <w:sym w:font="Symbol" w:char="F073"/>
            </w:r>
            <w:r>
              <w:rPr>
                <w:rFonts w:hint="eastAsia" w:ascii="Times New Roman" w:hAnsi="Times New Roman" w:eastAsia="宋体" w:cs="Times New Roman"/>
                <w:color w:val="000000" w:themeColor="text1"/>
                <w:sz w:val="24"/>
                <w:szCs w:val="24"/>
                <w14:textFill>
                  <w14:solidFill>
                    <w14:schemeClr w14:val="tx1"/>
                  </w14:solidFill>
                </w14:textFill>
              </w:rPr>
              <w:t>）</w:t>
            </w:r>
          </w:p>
        </w:tc>
      </w:tr>
      <w:bookmarkEnd w:id="1"/>
    </w:tbl>
    <w:p w14:paraId="45F34B05">
      <w:pPr>
        <w:pStyle w:val="5"/>
        <w:numPr>
          <w:ilvl w:val="0"/>
          <w:numId w:val="2"/>
        </w:numPr>
        <w:spacing w:line="360" w:lineRule="auto"/>
        <w:ind w:right="708" w:rightChars="337" w:hanging="905"/>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商务条款</w:t>
      </w:r>
    </w:p>
    <w:p w14:paraId="2E763FBA">
      <w:pPr>
        <w:numPr>
          <w:ilvl w:val="0"/>
          <w:numId w:val="3"/>
        </w:numPr>
        <w:autoSpaceDE w:val="0"/>
        <w:autoSpaceDN w:val="0"/>
        <w:adjustRightInd w:val="0"/>
        <w:spacing w:line="360" w:lineRule="auto"/>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交货地点：</w:t>
      </w:r>
      <w:r>
        <w:rPr>
          <w:rFonts w:hint="eastAsia" w:ascii="宋体" w:hAnsi="宋体" w:eastAsia="宋体" w:cs="宋体"/>
          <w:color w:val="000000" w:themeColor="text1"/>
          <w:kern w:val="0"/>
          <w:sz w:val="24"/>
          <w:szCs w:val="24"/>
          <w14:textFill>
            <w14:solidFill>
              <w14:schemeClr w14:val="tx1"/>
            </w14:solidFill>
          </w14:textFill>
        </w:rPr>
        <w:t>甲方</w:t>
      </w:r>
      <w:r>
        <w:rPr>
          <w:rFonts w:hint="eastAsia" w:ascii="宋体" w:hAnsi="宋体" w:eastAsia="宋体" w:cs="宋体"/>
          <w:color w:val="000000" w:themeColor="text1"/>
          <w:kern w:val="0"/>
          <w:sz w:val="24"/>
          <w:szCs w:val="24"/>
          <w:lang w:val="zh-CN"/>
          <w14:textFill>
            <w14:solidFill>
              <w14:schemeClr w14:val="tx1"/>
            </w14:solidFill>
          </w14:textFill>
        </w:rPr>
        <w:t>指定地点</w:t>
      </w:r>
    </w:p>
    <w:p w14:paraId="2FA88E05">
      <w:pPr>
        <w:numPr>
          <w:ilvl w:val="0"/>
          <w:numId w:val="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ascii="Times New Roman" w:hAnsi="Times New Roman" w:eastAsia="宋体" w:cs="Times New Roman"/>
          <w:b/>
          <w:bCs/>
          <w:color w:val="000000" w:themeColor="text1"/>
          <w:kern w:val="0"/>
          <w:sz w:val="24"/>
          <w:szCs w:val="24"/>
          <w:lang w:val="zh-CN"/>
          <w14:textFill>
            <w14:solidFill>
              <w14:schemeClr w14:val="tx1"/>
            </w14:solidFill>
          </w14:textFill>
        </w:rPr>
        <w:t>▲</w:t>
      </w:r>
      <w:r>
        <w:rPr>
          <w:rFonts w:hint="eastAsia" w:ascii="宋体" w:hAnsi="宋体" w:eastAsia="宋体" w:cs="宋体"/>
          <w:b/>
          <w:bCs/>
          <w:color w:val="000000" w:themeColor="text1"/>
          <w:kern w:val="0"/>
          <w:sz w:val="24"/>
          <w:szCs w:val="24"/>
          <w:lang w:val="zh-CN"/>
          <w14:textFill>
            <w14:solidFill>
              <w14:schemeClr w14:val="tx1"/>
            </w14:solidFill>
          </w14:textFill>
        </w:rPr>
        <w:t>交货期：</w:t>
      </w:r>
      <w:r>
        <w:rPr>
          <w:rFonts w:hint="eastAsia" w:ascii="宋体" w:hAnsi="宋体" w:eastAsia="宋体" w:cs="宋体"/>
          <w:color w:val="000000" w:themeColor="text1"/>
          <w:kern w:val="0"/>
          <w:sz w:val="24"/>
          <w:szCs w:val="24"/>
          <w:lang w:val="de-DE"/>
          <w14:textFill>
            <w14:solidFill>
              <w14:schemeClr w14:val="tx1"/>
            </w14:solidFill>
          </w14:textFill>
        </w:rPr>
        <w:t>合同签订后的</w:t>
      </w:r>
      <w:r>
        <w:rPr>
          <w:rFonts w:ascii="宋体" w:hAnsi="宋体" w:eastAsia="宋体" w:cs="宋体"/>
          <w:color w:val="000000" w:themeColor="text1"/>
          <w:kern w:val="0"/>
          <w:sz w:val="24"/>
          <w:szCs w:val="24"/>
          <w14:textFill>
            <w14:solidFill>
              <w14:schemeClr w14:val="tx1"/>
            </w14:solidFill>
          </w14:textFill>
        </w:rPr>
        <w:t>5</w:t>
      </w:r>
      <w:r>
        <w:rPr>
          <w:rFonts w:hint="eastAsia" w:ascii="宋体" w:hAnsi="宋体" w:eastAsia="宋体" w:cs="宋体"/>
          <w:color w:val="000000" w:themeColor="text1"/>
          <w:kern w:val="0"/>
          <w:sz w:val="24"/>
          <w:szCs w:val="24"/>
          <w14:textFill>
            <w14:solidFill>
              <w14:schemeClr w14:val="tx1"/>
            </w14:solidFill>
          </w14:textFill>
        </w:rPr>
        <w:t>个月</w:t>
      </w:r>
      <w:r>
        <w:rPr>
          <w:rFonts w:hint="eastAsia" w:ascii="宋体" w:hAnsi="宋体" w:eastAsia="宋体" w:cs="宋体"/>
          <w:color w:val="000000" w:themeColor="text1"/>
          <w:kern w:val="0"/>
          <w:sz w:val="24"/>
          <w:szCs w:val="24"/>
          <w:lang w:val="de-DE"/>
          <w14:textFill>
            <w14:solidFill>
              <w14:schemeClr w14:val="tx1"/>
            </w14:solidFill>
          </w14:textFill>
        </w:rPr>
        <w:t>内</w:t>
      </w:r>
      <w:r>
        <w:rPr>
          <w:rFonts w:hint="eastAsia" w:ascii="宋体" w:hAnsi="宋体" w:eastAsia="宋体" w:cs="宋体"/>
          <w:color w:val="000000" w:themeColor="text1"/>
          <w:kern w:val="0"/>
          <w:sz w:val="24"/>
          <w:szCs w:val="24"/>
          <w:lang w:val="zh-CN"/>
          <w14:textFill>
            <w14:solidFill>
              <w14:schemeClr w14:val="tx1"/>
            </w14:solidFill>
          </w14:textFill>
        </w:rPr>
        <w:t>交货。</w:t>
      </w:r>
    </w:p>
    <w:p w14:paraId="286F7575">
      <w:pPr>
        <w:numPr>
          <w:ilvl w:val="0"/>
          <w:numId w:val="3"/>
        </w:numPr>
        <w:tabs>
          <w:tab w:val="left" w:pos="420"/>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报价方式及要求：</w:t>
      </w:r>
    </w:p>
    <w:p w14:paraId="70A7E612">
      <w:pPr>
        <w:numPr>
          <w:ilvl w:val="0"/>
          <w:numId w:val="4"/>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本项目不允许采购进口产品参与投标</w:t>
      </w:r>
      <w:r>
        <w:rPr>
          <w:rFonts w:hint="eastAsia" w:ascii="宋体" w:hAnsi="宋体" w:cs="仿宋_GB2312"/>
          <w:bCs/>
          <w:sz w:val="24"/>
        </w:rPr>
        <w:t>。</w:t>
      </w:r>
    </w:p>
    <w:p w14:paraId="70EFDFB6">
      <w:pPr>
        <w:numPr>
          <w:ilvl w:val="0"/>
          <w:numId w:val="4"/>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cs="仿宋_GB2312"/>
          <w:sz w:val="24"/>
        </w:rPr>
        <w:t>国产产品与服务报项目现场交货人民币价。</w:t>
      </w:r>
      <w:r>
        <w:rPr>
          <w:rFonts w:hint="eastAsia" w:ascii="宋体" w:hAnsi="宋体" w:eastAsia="宋体" w:cs="宋体"/>
          <w:color w:val="000000" w:themeColor="text1"/>
          <w:sz w:val="24"/>
          <w:szCs w:val="24"/>
          <w:lang w:val="zh-CN"/>
          <w14:textFill>
            <w14:solidFill>
              <w14:schemeClr w14:val="tx1"/>
            </w14:solidFill>
          </w14:textFill>
        </w:rPr>
        <w:t>投标价包含仪器设备的价款、包装、税费、运输、装卸、安装、调试、技术指导、培训、咨询、服务、保险、检测、售后服务等其他各项有关费用。</w:t>
      </w:r>
    </w:p>
    <w:p w14:paraId="0FFF91F1">
      <w:pPr>
        <w:numPr>
          <w:ilvl w:val="0"/>
          <w:numId w:val="4"/>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24EABF07">
      <w:pPr>
        <w:numPr>
          <w:ilvl w:val="0"/>
          <w:numId w:val="4"/>
        </w:numPr>
        <w:tabs>
          <w:tab w:val="left" w:pos="420"/>
          <w:tab w:val="clear" w:pos="312"/>
        </w:tabs>
        <w:autoSpaceDE w:val="0"/>
        <w:autoSpaceDN w:val="0"/>
        <w:adjustRightIn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投标报价不得超过采购预算（如有最高限价则不得超出最高限价）。</w:t>
      </w:r>
    </w:p>
    <w:p w14:paraId="57C6598E">
      <w:pPr>
        <w:numPr>
          <w:ilvl w:val="0"/>
          <w:numId w:val="3"/>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★付款方式：</w:t>
      </w:r>
    </w:p>
    <w:p w14:paraId="36612DCB">
      <w:pPr>
        <w:pStyle w:val="10"/>
        <w:widowControl/>
        <w:numPr>
          <w:ilvl w:val="0"/>
          <w:numId w:val="5"/>
        </w:numPr>
        <w:tabs>
          <w:tab w:val="left" w:pos="900"/>
        </w:tabs>
        <w:spacing w:line="360" w:lineRule="auto"/>
        <w:ind w:firstLineChars="0"/>
        <w:jc w:val="left"/>
        <w:rPr>
          <w:rFonts w:ascii="宋体" w:hAnsi="宋体" w:cs="仿宋_GB2312"/>
          <w:kern w:val="0"/>
          <w:sz w:val="24"/>
        </w:rPr>
      </w:pPr>
      <w:r>
        <w:rPr>
          <w:rFonts w:hint="eastAsia" w:ascii="宋体" w:hAnsi="宋体" w:cs="仿宋_GB2312"/>
          <w:kern w:val="0"/>
          <w:sz w:val="24"/>
        </w:rPr>
        <w:t>合同签订生效后</w:t>
      </w:r>
      <w:r>
        <w:rPr>
          <w:rFonts w:ascii="宋体" w:hAnsi="宋体" w:cs="仿宋_GB2312"/>
          <w:kern w:val="0"/>
          <w:sz w:val="24"/>
        </w:rPr>
        <w:t>30</w:t>
      </w:r>
      <w:r>
        <w:rPr>
          <w:rFonts w:hint="eastAsia" w:ascii="宋体" w:hAnsi="宋体" w:cs="仿宋_GB2312"/>
          <w:kern w:val="0"/>
          <w:sz w:val="24"/>
        </w:rPr>
        <w:t>日内，在收到中标人开具合同金额</w:t>
      </w:r>
      <w:r>
        <w:rPr>
          <w:rFonts w:ascii="宋体" w:hAnsi="宋体" w:cs="仿宋_GB2312"/>
          <w:kern w:val="0"/>
          <w:sz w:val="24"/>
        </w:rPr>
        <w:t>10%</w:t>
      </w:r>
      <w:r>
        <w:rPr>
          <w:rFonts w:hint="eastAsia" w:ascii="宋体" w:hAnsi="宋体" w:cs="仿宋_GB2312"/>
          <w:kern w:val="0"/>
          <w:sz w:val="24"/>
        </w:rPr>
        <w:t>的履约保证金（供应商自主选择以支票、汇票、本票、保函等非现金形式缴纳或提交。履约保证金在中标人履行完成合同约定权利义务事项在终验收合格后一年按原方式退还，不计利息。）后，支付</w:t>
      </w:r>
      <w:r>
        <w:rPr>
          <w:rFonts w:ascii="宋体" w:hAnsi="宋体" w:cs="仿宋_GB2312"/>
          <w:kern w:val="0"/>
          <w:sz w:val="24"/>
        </w:rPr>
        <w:t>45%</w:t>
      </w:r>
      <w:r>
        <w:rPr>
          <w:rFonts w:hint="eastAsia" w:ascii="宋体" w:hAnsi="宋体" w:cs="仿宋_GB2312"/>
          <w:kern w:val="0"/>
          <w:sz w:val="24"/>
        </w:rPr>
        <w:t>的货款。</w:t>
      </w:r>
    </w:p>
    <w:p w14:paraId="4A12D9BB">
      <w:pPr>
        <w:pStyle w:val="10"/>
        <w:widowControl/>
        <w:numPr>
          <w:ilvl w:val="0"/>
          <w:numId w:val="5"/>
        </w:numPr>
        <w:tabs>
          <w:tab w:val="left" w:pos="900"/>
        </w:tabs>
        <w:spacing w:line="360" w:lineRule="auto"/>
        <w:ind w:firstLineChars="0"/>
        <w:jc w:val="left"/>
        <w:rPr>
          <w:rFonts w:ascii="宋体" w:hAnsi="宋体" w:cs="仿宋_GB2312"/>
          <w:kern w:val="0"/>
          <w:sz w:val="24"/>
        </w:rPr>
      </w:pPr>
      <w:r>
        <w:rPr>
          <w:rFonts w:hint="eastAsia" w:ascii="宋体" w:hAnsi="宋体" w:cs="仿宋_GB2312"/>
          <w:kern w:val="0"/>
          <w:sz w:val="24"/>
        </w:rPr>
        <w:t>合同签订生效后30日内，乙方完成设备设计方案并通过甲方评审，甲方支付20%的付款。</w:t>
      </w:r>
    </w:p>
    <w:p w14:paraId="12F28A85">
      <w:pPr>
        <w:pStyle w:val="10"/>
        <w:widowControl/>
        <w:numPr>
          <w:ilvl w:val="0"/>
          <w:numId w:val="5"/>
        </w:numPr>
        <w:tabs>
          <w:tab w:val="left" w:pos="900"/>
        </w:tabs>
        <w:spacing w:line="360" w:lineRule="auto"/>
        <w:ind w:firstLineChars="0"/>
        <w:jc w:val="left"/>
        <w:rPr>
          <w:rFonts w:ascii="宋体" w:hAnsi="宋体" w:cs="仿宋_GB2312"/>
          <w:kern w:val="0"/>
          <w:sz w:val="24"/>
        </w:rPr>
      </w:pPr>
      <w:r>
        <w:rPr>
          <w:rFonts w:ascii="宋体" w:hAnsi="宋体" w:cs="仿宋_GB2312"/>
          <w:kern w:val="0"/>
          <w:sz w:val="24"/>
        </w:rPr>
        <w:t>预验收合格后30日内支付20%的货款。</w:t>
      </w:r>
    </w:p>
    <w:p w14:paraId="27A63284">
      <w:pPr>
        <w:pStyle w:val="10"/>
        <w:widowControl/>
        <w:numPr>
          <w:ilvl w:val="0"/>
          <w:numId w:val="5"/>
        </w:numPr>
        <w:tabs>
          <w:tab w:val="left" w:pos="900"/>
        </w:tabs>
        <w:spacing w:line="360" w:lineRule="auto"/>
        <w:ind w:firstLineChars="0"/>
        <w:jc w:val="left"/>
        <w:rPr>
          <w:rFonts w:ascii="宋体" w:hAnsi="宋体" w:cs="仿宋_GB2312"/>
          <w:kern w:val="0"/>
          <w:sz w:val="24"/>
        </w:rPr>
      </w:pPr>
      <w:r>
        <w:rPr>
          <w:rFonts w:ascii="宋体" w:hAnsi="宋体" w:cs="仿宋_GB2312"/>
          <w:kern w:val="0"/>
          <w:sz w:val="24"/>
        </w:rPr>
        <w:t>现场安装终验收合格后，卖方向采购人开具合同全额增值税发票，采购人支付15%的货款。尾款支付并不免除中标人履行合同中约定质保服务的义务。</w:t>
      </w:r>
    </w:p>
    <w:p w14:paraId="56DA5F43">
      <w:pPr>
        <w:numPr>
          <w:ilvl w:val="0"/>
          <w:numId w:val="3"/>
        </w:numPr>
        <w:tabs>
          <w:tab w:val="left" w:pos="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质保</w:t>
      </w:r>
      <w:r>
        <w:rPr>
          <w:rFonts w:hint="eastAsia" w:ascii="宋体" w:hAnsi="宋体" w:eastAsia="宋体" w:cs="宋体"/>
          <w:b/>
          <w:bCs/>
          <w:color w:val="000000" w:themeColor="text1"/>
          <w:kern w:val="0"/>
          <w:sz w:val="24"/>
          <w:szCs w:val="24"/>
          <w14:textFill>
            <w14:solidFill>
              <w14:schemeClr w14:val="tx1"/>
            </w14:solidFill>
          </w14:textFill>
        </w:rPr>
        <w:t>及</w:t>
      </w:r>
      <w:r>
        <w:rPr>
          <w:rFonts w:hint="eastAsia" w:ascii="宋体" w:hAnsi="宋体" w:eastAsia="宋体" w:cs="宋体"/>
          <w:b/>
          <w:bCs/>
          <w:color w:val="000000" w:themeColor="text1"/>
          <w:kern w:val="0"/>
          <w:sz w:val="24"/>
          <w:szCs w:val="24"/>
          <w:lang w:val="zh-CN"/>
          <w14:textFill>
            <w14:solidFill>
              <w14:schemeClr w14:val="tx1"/>
            </w14:solidFill>
          </w14:textFill>
        </w:rPr>
        <w:t>售后服务</w:t>
      </w:r>
      <w:r>
        <w:rPr>
          <w:rFonts w:hint="eastAsia" w:ascii="宋体" w:hAnsi="宋体" w:eastAsia="宋体" w:cs="宋体"/>
          <w:b/>
          <w:bCs/>
          <w:color w:val="000000" w:themeColor="text1"/>
          <w:kern w:val="0"/>
          <w:sz w:val="24"/>
          <w:szCs w:val="24"/>
          <w14:textFill>
            <w14:solidFill>
              <w14:schemeClr w14:val="tx1"/>
            </w14:solidFill>
          </w14:textFill>
        </w:rPr>
        <w:t>要求</w:t>
      </w:r>
      <w:r>
        <w:rPr>
          <w:rFonts w:hint="eastAsia" w:ascii="宋体" w:hAnsi="宋体" w:eastAsia="宋体" w:cs="宋体"/>
          <w:b/>
          <w:bCs/>
          <w:color w:val="000000" w:themeColor="text1"/>
          <w:kern w:val="0"/>
          <w:sz w:val="24"/>
          <w:szCs w:val="24"/>
          <w:lang w:val="zh-CN"/>
          <w14:textFill>
            <w14:solidFill>
              <w14:schemeClr w14:val="tx1"/>
            </w14:solidFill>
          </w14:textFill>
        </w:rPr>
        <w:t>：</w:t>
      </w:r>
    </w:p>
    <w:p w14:paraId="120483CC">
      <w:pPr>
        <w:widowControl/>
        <w:numPr>
          <w:ilvl w:val="0"/>
          <w:numId w:val="6"/>
        </w:numPr>
        <w:tabs>
          <w:tab w:val="left" w:pos="420"/>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投标人需为本项目配备足够的售后服务力量，具有国内本地化的服务团队；</w:t>
      </w:r>
    </w:p>
    <w:p w14:paraId="33795087">
      <w:pPr>
        <w:widowControl/>
        <w:numPr>
          <w:ilvl w:val="0"/>
          <w:numId w:val="6"/>
        </w:numPr>
        <w:tabs>
          <w:tab w:val="left" w:pos="420"/>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投标人售后服务响应时间：电话响应时间要求8小时内，到场响应时间要求2个工作日内（指从接到报障至到达故障现场的时间）；</w:t>
      </w:r>
    </w:p>
    <w:p w14:paraId="4A795853">
      <w:pPr>
        <w:widowControl/>
        <w:numPr>
          <w:ilvl w:val="0"/>
          <w:numId w:val="6"/>
        </w:numPr>
        <w:tabs>
          <w:tab w:val="left" w:pos="420"/>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投标人免费提供技术支持热线电话，满足24小时热线服务；</w:t>
      </w:r>
    </w:p>
    <w:p w14:paraId="4CE959E0">
      <w:pPr>
        <w:widowControl/>
        <w:numPr>
          <w:ilvl w:val="0"/>
          <w:numId w:val="6"/>
        </w:numPr>
        <w:tabs>
          <w:tab w:val="left" w:pos="420"/>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投标人免费提供email技术支持，并且在24小时内回复；</w:t>
      </w:r>
    </w:p>
    <w:p w14:paraId="603C2765">
      <w:pPr>
        <w:widowControl/>
        <w:numPr>
          <w:ilvl w:val="0"/>
          <w:numId w:val="6"/>
        </w:numPr>
        <w:tabs>
          <w:tab w:val="left" w:pos="420"/>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投标人提供仪器设备的免费保修期一年，保修期从</w:t>
      </w:r>
      <w:r>
        <w:rPr>
          <w:rFonts w:hint="eastAsia" w:ascii="宋体" w:hAnsi="宋体" w:eastAsia="宋体" w:cs="宋体"/>
          <w:bCs/>
          <w:color w:val="000000" w:themeColor="text1"/>
          <w:kern w:val="0"/>
          <w:sz w:val="24"/>
          <w:szCs w:val="24"/>
          <w:lang w:val="zh-CN"/>
          <w14:textFill>
            <w14:solidFill>
              <w14:schemeClr w14:val="tx1"/>
            </w14:solidFill>
          </w14:textFill>
        </w:rPr>
        <w:t>最终安装验收合格后开始计算</w:t>
      </w:r>
      <w:r>
        <w:rPr>
          <w:rFonts w:hint="eastAsia" w:ascii="宋体" w:hAnsi="宋体" w:eastAsia="宋体" w:cs="宋体"/>
          <w:color w:val="000000" w:themeColor="text1"/>
          <w:sz w:val="24"/>
          <w:szCs w:val="24"/>
          <w14:textFill>
            <w14:solidFill>
              <w14:schemeClr w14:val="tx1"/>
            </w14:solidFill>
          </w14:textFill>
        </w:rPr>
        <w:t>（保修期内免费维修并更换除消耗品以外的零部件，维修人员的路费、食宿等自理）；</w:t>
      </w:r>
    </w:p>
    <w:p w14:paraId="6D0CE134">
      <w:pPr>
        <w:widowControl/>
        <w:numPr>
          <w:ilvl w:val="0"/>
          <w:numId w:val="6"/>
        </w:numPr>
        <w:tabs>
          <w:tab w:val="left" w:pos="420"/>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投标人提供该设备的技术使用说明书及外购配件仪器说明书，并指导在使用该设备时的操作注意事项等；</w:t>
      </w:r>
    </w:p>
    <w:p w14:paraId="0283BA14">
      <w:pPr>
        <w:widowControl/>
        <w:numPr>
          <w:ilvl w:val="0"/>
          <w:numId w:val="6"/>
        </w:numPr>
        <w:tabs>
          <w:tab w:val="left" w:pos="420"/>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投标人提供配套软件三年内免费升级服务。</w:t>
      </w:r>
    </w:p>
    <w:p w14:paraId="4B09DF5A">
      <w:pPr>
        <w:pStyle w:val="6"/>
        <w:spacing w:line="360" w:lineRule="auto"/>
        <w:ind w:firstLine="480"/>
        <w:rPr>
          <w:rFonts w:cs="宋体"/>
          <w:color w:val="000000" w:themeColor="text1"/>
          <w:sz w:val="24"/>
          <w:szCs w:val="24"/>
          <w:lang w:val="zh-CN"/>
          <w14:textFill>
            <w14:solidFill>
              <w14:schemeClr w14:val="tx1"/>
            </w14:solidFill>
          </w14:textFill>
        </w:rPr>
      </w:pPr>
    </w:p>
    <w:p w14:paraId="2A8AB940">
      <w:pPr>
        <w:widowControl/>
        <w:numPr>
          <w:ilvl w:val="0"/>
          <w:numId w:val="3"/>
        </w:numP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培训要求：</w:t>
      </w:r>
      <w:r>
        <w:rPr>
          <w:rFonts w:hint="eastAsia" w:ascii="宋体" w:hAnsi="宋体" w:eastAsia="宋体" w:cs="宋体"/>
          <w:color w:val="000000" w:themeColor="text1"/>
          <w:sz w:val="24"/>
          <w:szCs w:val="24"/>
          <w14:textFill>
            <w14:solidFill>
              <w14:schemeClr w14:val="tx1"/>
            </w14:solidFill>
          </w14:textFill>
        </w:rPr>
        <w:t xml:space="preserve"> </w:t>
      </w:r>
    </w:p>
    <w:p w14:paraId="4A3C58C8">
      <w:pPr>
        <w:pStyle w:val="4"/>
        <w:snapToGrid w:val="0"/>
        <w:spacing w:line="360" w:lineRule="auto"/>
        <w:rPr>
          <w:rFonts w:hAnsi="宋体" w:cs="宋体"/>
          <w:sz w:val="24"/>
          <w:szCs w:val="24"/>
        </w:rPr>
      </w:pPr>
      <w:r>
        <w:rPr>
          <w:rFonts w:hint="eastAsia" w:hAnsi="宋体" w:cs="宋体"/>
          <w:color w:val="000000" w:themeColor="text1"/>
          <w:sz w:val="24"/>
          <w:szCs w:val="24"/>
          <w14:textFill>
            <w14:solidFill>
              <w14:schemeClr w14:val="tx1"/>
            </w14:solidFill>
          </w14:textFill>
        </w:rPr>
        <w:t>为保证投标人所提供的仪器设备安全、可靠运行，便于采购人的运行维护，必须对采购人培训合格的维护和管理人员。</w:t>
      </w:r>
    </w:p>
    <w:p w14:paraId="29BBBC85">
      <w:pPr>
        <w:widowControl/>
        <w:numPr>
          <w:ilvl w:val="0"/>
          <w:numId w:val="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hAnsi="宋体" w:cs="宋体"/>
          <w:sz w:val="24"/>
          <w:szCs w:val="24"/>
        </w:rPr>
        <w:t>设备现场终验收后，中标方对招标人用户方提供进行为期2周或2周以上的培训。内容包括操作方法、维修技术、故障排除和日常注意事项等，确保操作人员能够安全、正确、有效的操作与维护系统；</w:t>
      </w:r>
    </w:p>
    <w:p w14:paraId="4698A3A4">
      <w:pPr>
        <w:widowControl/>
        <w:numPr>
          <w:ilvl w:val="0"/>
          <w:numId w:val="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hAnsi="宋体" w:cs="宋体"/>
          <w:sz w:val="24"/>
          <w:szCs w:val="24"/>
        </w:rPr>
        <w:t>中标方必须提供设备试验、验收的有关国家或企业标准、规范和方法及本机所用软件合法证明书；</w:t>
      </w:r>
    </w:p>
    <w:p w14:paraId="7ECF9D09">
      <w:pPr>
        <w:widowControl/>
        <w:numPr>
          <w:ilvl w:val="0"/>
          <w:numId w:val="7"/>
        </w:numPr>
        <w:tabs>
          <w:tab w:val="clear" w:pos="1500"/>
        </w:tabs>
        <w:spacing w:before="156" w:beforeLines="50" w:line="360" w:lineRule="auto"/>
        <w:ind w:left="420"/>
        <w:jc w:val="left"/>
        <w:rPr>
          <w:rFonts w:ascii="宋体" w:hAnsi="宋体" w:eastAsia="宋体" w:cs="宋体"/>
          <w:color w:val="000000" w:themeColor="text1"/>
          <w:sz w:val="24"/>
          <w:szCs w:val="24"/>
          <w14:textFill>
            <w14:solidFill>
              <w14:schemeClr w14:val="tx1"/>
            </w14:solidFill>
          </w14:textFill>
        </w:rPr>
      </w:pPr>
      <w:r>
        <w:rPr>
          <w:rFonts w:hint="eastAsia" w:hAnsi="宋体" w:cs="宋体"/>
          <w:sz w:val="24"/>
          <w:szCs w:val="24"/>
        </w:rPr>
        <w:t>设备验收及培训时所需的各项耗材及相关测试实验等费用由中标方承担，并计入投标总价。</w:t>
      </w:r>
    </w:p>
    <w:p w14:paraId="0D2F649C">
      <w:pPr>
        <w:numPr>
          <w:ilvl w:val="0"/>
          <w:numId w:val="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运输及包装方式的要求</w:t>
      </w:r>
    </w:p>
    <w:p w14:paraId="063B0606">
      <w:pPr>
        <w:autoSpaceDE w:val="0"/>
        <w:autoSpaceDN w:val="0"/>
        <w:adjustRightInd w:val="0"/>
        <w:spacing w:line="360" w:lineRule="auto"/>
        <w:ind w:firstLine="480" w:firstLineChars="200"/>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63D3EF9C">
      <w:pPr>
        <w:numPr>
          <w:ilvl w:val="0"/>
          <w:numId w:val="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安装、调试及验收：</w:t>
      </w:r>
    </w:p>
    <w:p w14:paraId="7D6F0F24">
      <w:pPr>
        <w:pStyle w:val="6"/>
        <w:numPr>
          <w:ilvl w:val="0"/>
          <w:numId w:val="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lang w:val="zh-CN"/>
          <w14:textFill>
            <w14:solidFill>
              <w14:schemeClr w14:val="tx1"/>
            </w14:solidFill>
          </w14:textFill>
        </w:rPr>
        <w:t>提供</w:t>
      </w:r>
      <w:r>
        <w:rPr>
          <w:rFonts w:hint="eastAsia" w:ascii="宋体" w:hAnsi="宋体" w:eastAsia="宋体" w:cs="宋体"/>
          <w:color w:val="000000" w:themeColor="text1"/>
          <w:sz w:val="24"/>
          <w:szCs w:val="24"/>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lang w:val="zh-CN"/>
          <w14:textFill>
            <w14:solidFill>
              <w14:schemeClr w14:val="tx1"/>
            </w14:solidFill>
          </w14:textFill>
        </w:rPr>
        <w:t>条件</w:t>
      </w:r>
      <w:r>
        <w:rPr>
          <w:rFonts w:hint="eastAsia" w:ascii="宋体" w:hAnsi="宋体" w:eastAsia="宋体" w:cs="宋体"/>
          <w:color w:val="000000" w:themeColor="text1"/>
          <w:sz w:val="24"/>
          <w:szCs w:val="24"/>
          <w14:textFill>
            <w14:solidFill>
              <w14:schemeClr w14:val="tx1"/>
            </w14:solidFill>
          </w14:textFill>
        </w:rPr>
        <w:t>要求。</w:t>
      </w:r>
    </w:p>
    <w:p w14:paraId="095DDFD2">
      <w:pPr>
        <w:pStyle w:val="6"/>
        <w:numPr>
          <w:ilvl w:val="0"/>
          <w:numId w:val="8"/>
        </w:numPr>
        <w:spacing w:line="360" w:lineRule="auto"/>
        <w:ind w:firstLineChars="0"/>
        <w:rPr>
          <w:rFonts w:ascii="宋体" w:hAnsi="宋体" w:eastAsia="宋体" w:cs="宋体"/>
          <w:bCs/>
          <w:color w:val="000000" w:themeColor="text1"/>
          <w:kern w:val="0"/>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仪器设备运抵安装现场后，采购人将与中标人共同开箱验收,如中标人届时不派人来,则验收结果应以采购人和当地商检人员的验收报告为最终验收结果。验收时发现短缺、破损,采购人有权要求中标人立即补发和负责更换。</w:t>
      </w:r>
    </w:p>
    <w:p w14:paraId="75CA7D22">
      <w:pPr>
        <w:pStyle w:val="6"/>
        <w:numPr>
          <w:ilvl w:val="0"/>
          <w:numId w:val="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设备验收分为中标方厂商地预验收和招标人用户地终验收，预验收和终验收的内容将遵照双方签订的技术协议和验收大纲执行。</w:t>
      </w:r>
    </w:p>
    <w:p w14:paraId="45CD5B9B">
      <w:pPr>
        <w:pStyle w:val="6"/>
        <w:numPr>
          <w:ilvl w:val="0"/>
          <w:numId w:val="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预验收要求：</w:t>
      </w:r>
    </w:p>
    <w:p w14:paraId="5B971E92">
      <w:pPr>
        <w:pStyle w:val="6"/>
        <w:spacing w:line="360" w:lineRule="auto"/>
        <w:ind w:left="425" w:firstLine="0"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设备发货前，招标人到设备制造商工厂进行设备预验收，按《预验收检测大纲》中的技术要求对设备的硬件进行逐条检验，合格后方可包装、发运。《预验收检测大纲》包含功能性、硬件参数等指标，在预验收前需双方签字认可。</w:t>
      </w:r>
    </w:p>
    <w:p w14:paraId="23BD893F">
      <w:pPr>
        <w:pStyle w:val="6"/>
        <w:numPr>
          <w:ilvl w:val="0"/>
          <w:numId w:val="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终验收要求：</w:t>
      </w:r>
    </w:p>
    <w:p w14:paraId="49ADFD27">
      <w:pPr>
        <w:pStyle w:val="6"/>
        <w:spacing w:line="360" w:lineRule="auto"/>
        <w:ind w:left="425" w:firstLine="0"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设备到达招标人用户所在地后，在接到招标人用户通知后一周内，中标方工程师到达招标人进行定位等，厂务准备好后，中标方工程师进行安装调试，直至达到验收指标。</w:t>
      </w:r>
    </w:p>
    <w:p w14:paraId="49B2CFBD">
      <w:pPr>
        <w:pStyle w:val="6"/>
        <w:numPr>
          <w:ilvl w:val="0"/>
          <w:numId w:val="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终验收方法及项目：</w:t>
      </w:r>
    </w:p>
    <w:p w14:paraId="00B496BC">
      <w:pPr>
        <w:pStyle w:val="6"/>
        <w:spacing w:line="360" w:lineRule="auto"/>
        <w:ind w:left="425" w:firstLine="0"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按《终验收检测大纲》中的技术要求对系统进行逐条验收，合格后方可出具验收报告。《终验收检测大纲》在终验收前需双方签字认可。</w:t>
      </w:r>
    </w:p>
    <w:p w14:paraId="2B5C8795">
      <w:pPr>
        <w:pStyle w:val="6"/>
        <w:numPr>
          <w:ilvl w:val="0"/>
          <w:numId w:val="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验收依据：</w:t>
      </w:r>
    </w:p>
    <w:p w14:paraId="7222C569">
      <w:pPr>
        <w:pStyle w:val="6"/>
        <w:spacing w:line="360" w:lineRule="auto"/>
        <w:ind w:left="425" w:firstLine="0"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验收将按照招标人和中标方共同确定的《技术协议》和《检测大纲》执行。不在双方确定的验收大纲范围内的条款，按国家（或行业）标准和规范执行。现场安装、调试、验收合格后，双方签署验收报告，该报告是终验收报告，作为付款的最终依据，验收报告由双方签字生效。招标人代表有权参与有关验收试验，中标方应向招标人的验收代表提交试验数据和报告。</w:t>
      </w:r>
    </w:p>
    <w:p w14:paraId="1AEF052B">
      <w:pPr>
        <w:pStyle w:val="6"/>
        <w:numPr>
          <w:ilvl w:val="0"/>
          <w:numId w:val="8"/>
        </w:numPr>
        <w:spacing w:line="360" w:lineRule="auto"/>
        <w:ind w:firstLineChars="0"/>
        <w:rPr>
          <w:rFonts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kern w:val="0"/>
          <w:sz w:val="24"/>
          <w:szCs w:val="24"/>
          <w:lang w:val="zh-CN"/>
          <w14:textFill>
            <w14:solidFill>
              <w14:schemeClr w14:val="tx1"/>
            </w14:solidFill>
          </w14:textFill>
        </w:rPr>
        <w:t>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w:t>
      </w:r>
    </w:p>
    <w:p w14:paraId="4CB6A60C">
      <w:pPr>
        <w:numPr>
          <w:ilvl w:val="0"/>
          <w:numId w:val="3"/>
        </w:numPr>
        <w:tabs>
          <w:tab w:val="left" w:pos="420"/>
        </w:tabs>
        <w:autoSpaceDE w:val="0"/>
        <w:autoSpaceDN w:val="0"/>
        <w:adjustRightInd w:val="0"/>
        <w:spacing w:line="360" w:lineRule="auto"/>
        <w:rPr>
          <w:rFonts w:ascii="宋体" w:hAnsi="宋体" w:eastAsia="宋体" w:cs="宋体"/>
          <w:b/>
          <w:bCs/>
          <w:color w:val="000000" w:themeColor="text1"/>
          <w:kern w:val="0"/>
          <w:sz w:val="24"/>
          <w:szCs w:val="24"/>
          <w:lang w:val="zh-CN"/>
          <w14:textFill>
            <w14:solidFill>
              <w14:schemeClr w14:val="tx1"/>
            </w14:solidFill>
          </w14:textFill>
        </w:rPr>
      </w:pPr>
      <w:r>
        <w:rPr>
          <w:rFonts w:hint="eastAsia" w:ascii="宋体" w:hAnsi="宋体" w:eastAsia="宋体" w:cs="宋体"/>
          <w:b/>
          <w:bCs/>
          <w:color w:val="000000" w:themeColor="text1"/>
          <w:kern w:val="0"/>
          <w:sz w:val="24"/>
          <w:szCs w:val="24"/>
          <w:lang w:val="zh-CN"/>
          <w14:textFill>
            <w14:solidFill>
              <w14:schemeClr w14:val="tx1"/>
            </w14:solidFill>
          </w14:textFill>
        </w:rPr>
        <w:t>质量及知识产权要求</w:t>
      </w:r>
    </w:p>
    <w:p w14:paraId="62946A73">
      <w:pPr>
        <w:numPr>
          <w:ilvl w:val="0"/>
          <w:numId w:val="9"/>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01969B6D">
      <w:pPr>
        <w:numPr>
          <w:ilvl w:val="0"/>
          <w:numId w:val="9"/>
        </w:numPr>
        <w:tabs>
          <w:tab w:val="left" w:pos="426"/>
          <w:tab w:val="left" w:pos="851"/>
        </w:tabs>
        <w:autoSpaceDE w:val="0"/>
        <w:autoSpaceDN w:val="0"/>
        <w:adjustRightInd w:val="0"/>
        <w:spacing w:line="360" w:lineRule="auto"/>
        <w:jc w:val="left"/>
        <w:rPr>
          <w:rFonts w:ascii="宋体" w:hAnsi="宋体" w:eastAsia="宋体" w:cs="宋体"/>
          <w:color w:val="000000" w:themeColor="text1"/>
          <w:kern w:val="0"/>
          <w:sz w:val="24"/>
          <w:szCs w:val="24"/>
          <w:lang w:val="zh-CN"/>
          <w14:textFill>
            <w14:solidFill>
              <w14:schemeClr w14:val="tx1"/>
            </w14:solidFill>
          </w14:textFill>
        </w:rPr>
      </w:pPr>
      <w:r>
        <w:rPr>
          <w:rFonts w:hint="eastAsia" w:ascii="宋体" w:hAnsi="宋体" w:eastAsia="宋体" w:cs="宋体"/>
          <w:color w:val="000000" w:themeColor="text1"/>
          <w:kern w:val="0"/>
          <w:sz w:val="24"/>
          <w:szCs w:val="24"/>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540FF60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Bookman Old Style">
    <w:panose1 w:val="02050604050505020204"/>
    <w:charset w:val="00"/>
    <w:family w:val="roman"/>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
    <w:nsid w:val="6729B95E"/>
    <w:multiLevelType w:val="singleLevel"/>
    <w:tmpl w:val="6729B95E"/>
    <w:lvl w:ilvl="0" w:tentative="0">
      <w:start w:val="3"/>
      <w:numFmt w:val="chineseCounting"/>
      <w:suff w:val="nothing"/>
      <w:lvlText w:val="%1、"/>
      <w:lvlJc w:val="left"/>
      <w:rPr>
        <w:rFonts w:hint="eastAsia"/>
      </w:rPr>
    </w:lvl>
  </w:abstractNum>
  <w:abstractNum w:abstractNumId="3">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C68EB4"/>
    <w:multiLevelType w:val="singleLevel"/>
    <w:tmpl w:val="70C68EB4"/>
    <w:lvl w:ilvl="0" w:tentative="0">
      <w:start w:val="1"/>
      <w:numFmt w:val="decimal"/>
      <w:lvlText w:val="%1)"/>
      <w:lvlJc w:val="left"/>
      <w:pPr>
        <w:tabs>
          <w:tab w:val="left" w:pos="312"/>
        </w:tabs>
      </w:pPr>
    </w:lvl>
  </w:abstractNum>
  <w:abstractNum w:abstractNumId="6">
    <w:nsid w:val="711759A5"/>
    <w:multiLevelType w:val="multilevel"/>
    <w:tmpl w:val="711759A5"/>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77960C54"/>
    <w:multiLevelType w:val="multilevel"/>
    <w:tmpl w:val="77960C54"/>
    <w:lvl w:ilvl="0" w:tentative="0">
      <w:start w:val="1"/>
      <w:numFmt w:val="chineseCounting"/>
      <w:lvlText w:val="%1、"/>
      <w:lvlJc w:val="left"/>
      <w:pPr>
        <w:ind w:left="1047" w:hanging="420"/>
      </w:pPr>
      <w:rPr>
        <w:rFonts w:hint="eastAsia"/>
      </w:rPr>
    </w:lvl>
    <w:lvl w:ilvl="1" w:tentative="0">
      <w:start w:val="1"/>
      <w:numFmt w:val="lowerLetter"/>
      <w:lvlText w:val="%2)"/>
      <w:lvlJc w:val="left"/>
      <w:pPr>
        <w:ind w:left="1467" w:hanging="420"/>
      </w:pPr>
    </w:lvl>
    <w:lvl w:ilvl="2" w:tentative="0">
      <w:start w:val="1"/>
      <w:numFmt w:val="lowerRoman"/>
      <w:lvlText w:val="%3."/>
      <w:lvlJc w:val="right"/>
      <w:pPr>
        <w:ind w:left="1887" w:hanging="420"/>
      </w:pPr>
    </w:lvl>
    <w:lvl w:ilvl="3" w:tentative="0">
      <w:start w:val="1"/>
      <w:numFmt w:val="decimal"/>
      <w:lvlText w:val="%4."/>
      <w:lvlJc w:val="left"/>
      <w:pPr>
        <w:ind w:left="2307" w:hanging="420"/>
      </w:pPr>
    </w:lvl>
    <w:lvl w:ilvl="4" w:tentative="0">
      <w:start w:val="1"/>
      <w:numFmt w:val="lowerLetter"/>
      <w:lvlText w:val="%5)"/>
      <w:lvlJc w:val="left"/>
      <w:pPr>
        <w:ind w:left="2727" w:hanging="420"/>
      </w:pPr>
    </w:lvl>
    <w:lvl w:ilvl="5" w:tentative="0">
      <w:start w:val="1"/>
      <w:numFmt w:val="lowerRoman"/>
      <w:lvlText w:val="%6."/>
      <w:lvlJc w:val="right"/>
      <w:pPr>
        <w:ind w:left="3147" w:hanging="420"/>
      </w:pPr>
    </w:lvl>
    <w:lvl w:ilvl="6" w:tentative="0">
      <w:start w:val="1"/>
      <w:numFmt w:val="decimal"/>
      <w:lvlText w:val="%7."/>
      <w:lvlJc w:val="left"/>
      <w:pPr>
        <w:ind w:left="3567" w:hanging="420"/>
      </w:pPr>
    </w:lvl>
    <w:lvl w:ilvl="7" w:tentative="0">
      <w:start w:val="1"/>
      <w:numFmt w:val="lowerLetter"/>
      <w:lvlText w:val="%8)"/>
      <w:lvlJc w:val="left"/>
      <w:pPr>
        <w:ind w:left="3987" w:hanging="420"/>
      </w:pPr>
    </w:lvl>
    <w:lvl w:ilvl="8" w:tentative="0">
      <w:start w:val="1"/>
      <w:numFmt w:val="lowerRoman"/>
      <w:lvlText w:val="%9."/>
      <w:lvlJc w:val="right"/>
      <w:pPr>
        <w:ind w:left="4407" w:hanging="420"/>
      </w:pPr>
    </w:lvl>
  </w:abstractNum>
  <w:abstractNum w:abstractNumId="8">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2"/>
  </w:num>
  <w:num w:numId="2">
    <w:abstractNumId w:val="7"/>
  </w:num>
  <w:num w:numId="3">
    <w:abstractNumId w:val="8"/>
  </w:num>
  <w:num w:numId="4">
    <w:abstractNumId w:val="5"/>
  </w:num>
  <w:num w:numId="5">
    <w:abstractNumId w:val="6"/>
  </w:num>
  <w:num w:numId="6">
    <w:abstractNumId w:val="1"/>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7E4AB3"/>
    <w:rsid w:val="2FCE0266"/>
    <w:rsid w:val="777E4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w:basedOn w:val="1"/>
    <w:next w:val="3"/>
    <w:unhideWhenUsed/>
    <w:qFormat/>
    <w:uiPriority w:val="99"/>
    <w:pPr>
      <w:spacing w:after="120"/>
      <w:ind w:left="420" w:leftChars="200"/>
    </w:pPr>
  </w:style>
  <w:style w:type="paragraph" w:styleId="3">
    <w:name w:val="envelope return"/>
    <w:basedOn w:val="1"/>
    <w:semiHidden/>
    <w:unhideWhenUsed/>
    <w:qFormat/>
    <w:uiPriority w:val="99"/>
    <w:pPr>
      <w:snapToGrid w:val="0"/>
    </w:pPr>
    <w:rPr>
      <w:rFonts w:ascii="Arial" w:hAnsi="Arial"/>
    </w:rPr>
  </w:style>
  <w:style w:type="paragraph" w:styleId="4">
    <w:name w:val="Plain Text"/>
    <w:basedOn w:val="1"/>
    <w:unhideWhenUsed/>
    <w:qFormat/>
    <w:uiPriority w:val="0"/>
    <w:rPr>
      <w:rFonts w:ascii="宋体" w:hAnsi="Courier New" w:eastAsia="宋体" w:cs="Times New Roman"/>
      <w:szCs w:val="21"/>
    </w:r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Body Text First Indent 2"/>
    <w:basedOn w:val="2"/>
    <w:unhideWhenUsed/>
    <w:qFormat/>
    <w:uiPriority w:val="99"/>
    <w:pPr>
      <w:spacing w:after="0"/>
      <w:ind w:left="0" w:leftChars="0" w:firstLine="420" w:firstLineChars="200"/>
    </w:pPr>
    <w:rPr>
      <w:rFonts w:ascii="Arial" w:hAnsi="Arial" w:eastAsia="仿宋_GB2312"/>
      <w:sz w:val="28"/>
    </w:rPr>
  </w:style>
  <w:style w:type="paragraph" w:customStyle="1" w:styleId="9">
    <w:name w:val="Table Text"/>
    <w:basedOn w:val="1"/>
    <w:semiHidden/>
    <w:qFormat/>
    <w:uiPriority w:val="0"/>
    <w:pPr>
      <w:widowControl/>
      <w:kinsoku w:val="0"/>
      <w:autoSpaceDE w:val="0"/>
      <w:autoSpaceDN w:val="0"/>
      <w:adjustRightInd w:val="0"/>
      <w:snapToGrid w:val="0"/>
      <w:jc w:val="left"/>
      <w:textAlignment w:val="baseline"/>
    </w:pPr>
    <w:rPr>
      <w:rFonts w:ascii="宋体" w:hAnsi="宋体" w:eastAsia="宋体" w:cs="宋体"/>
      <w:snapToGrid w:val="0"/>
      <w:color w:val="000000"/>
      <w:kern w:val="0"/>
      <w:szCs w:val="21"/>
      <w:lang w:eastAsia="en-US"/>
    </w:rPr>
  </w:style>
  <w:style w:type="paragraph" w:styleId="10">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6141</Words>
  <Characters>6824</Characters>
  <Lines>0</Lines>
  <Paragraphs>0</Paragraphs>
  <TotalTime>2</TotalTime>
  <ScaleCrop>false</ScaleCrop>
  <LinksUpToDate>false</LinksUpToDate>
  <CharactersWithSpaces>6864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2024-12-19T13:54:00Z</dcterms:created>
  <dc:creator>东方招标</dc:creator>
  <cp:lastModifiedBy>清</cp:lastModifiedBy>
  <dcterms:modified xsi:type="dcterms:W3CDTF">2024-12-21T02:49:01Z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DF78E9FBBD514768A567C5192A9E0187_13</vt:lpwstr>
  </property>
</Properties>
</file>