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8053FA">
      <w:pPr>
        <w:adjustRightInd w:val="0"/>
        <w:snapToGrid w:val="0"/>
        <w:spacing w:before="936" w:beforeLines="300"/>
        <w:jc w:val="center"/>
        <w:rPr>
          <w:rFonts w:ascii="黑体" w:eastAsia="黑体"/>
          <w:b/>
          <w:color w:val="000000" w:themeColor="text1"/>
          <w:kern w:val="44"/>
          <w:sz w:val="48"/>
          <w:szCs w:val="20"/>
          <w14:textFill>
            <w14:solidFill>
              <w14:schemeClr w14:val="tx1"/>
            </w14:solidFill>
          </w14:textFill>
        </w:rPr>
      </w:pPr>
      <w:bookmarkStart w:id="0" w:name="_GoBack"/>
      <w:bookmarkEnd w:id="0"/>
      <w:r>
        <w:rPr>
          <w:rFonts w:hint="eastAsia" w:ascii="黑体" w:eastAsia="黑体"/>
          <w:b/>
          <w:color w:val="000000" w:themeColor="text1"/>
          <w:kern w:val="44"/>
          <w:sz w:val="48"/>
          <w:szCs w:val="20"/>
          <w14:textFill>
            <w14:solidFill>
              <w14:schemeClr w14:val="tx1"/>
            </w14:solidFill>
          </w14:textFill>
        </w:rPr>
        <w:t>第八部分  采购需求</w:t>
      </w:r>
      <w:r>
        <w:rPr>
          <w:rFonts w:ascii="黑体" w:eastAsia="黑体"/>
          <w:b/>
          <w:color w:val="000000" w:themeColor="text1"/>
          <w:kern w:val="44"/>
          <w:sz w:val="48"/>
          <w:szCs w:val="20"/>
          <w14:textFill>
            <w14:solidFill>
              <w14:schemeClr w14:val="tx1"/>
            </w14:solidFill>
          </w14:textFill>
        </w:rPr>
        <w:br w:type="page"/>
      </w:r>
    </w:p>
    <w:p w14:paraId="13227830">
      <w:pPr>
        <w:adjustRightInd w:val="0"/>
        <w:snapToGrid w:val="0"/>
        <w:jc w:val="center"/>
        <w:rPr>
          <w:rFonts w:ascii="宋体" w:hAnsi="宋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一、货物需求一览表</w:t>
      </w:r>
    </w:p>
    <w:p w14:paraId="2C697F2A">
      <w:pPr>
        <w:adjustRightInd w:val="0"/>
        <w:snapToGrid w:val="0"/>
        <w:jc w:val="center"/>
        <w:rPr>
          <w:rFonts w:ascii="宋体" w:hAnsi="宋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tbl>
      <w:tblPr>
        <w:tblStyle w:val="6"/>
        <w:tblW w:w="8741" w:type="dxa"/>
        <w:jc w:val="center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704"/>
        <w:gridCol w:w="1878"/>
        <w:gridCol w:w="1122"/>
        <w:gridCol w:w="2050"/>
        <w:gridCol w:w="2987"/>
      </w:tblGrid>
      <w:tr w14:paraId="01A1BF9B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02" w:hRule="atLeast"/>
          <w:jc w:val="center"/>
        </w:trPr>
        <w:tc>
          <w:tcPr>
            <w:tcW w:w="704" w:type="dxa"/>
            <w:vAlign w:val="center"/>
          </w:tcPr>
          <w:p w14:paraId="66402ACC">
            <w:pPr>
              <w:jc w:val="center"/>
              <w:rPr>
                <w:rFonts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包号</w:t>
            </w:r>
          </w:p>
        </w:tc>
        <w:tc>
          <w:tcPr>
            <w:tcW w:w="1878" w:type="dxa"/>
            <w:vAlign w:val="center"/>
          </w:tcPr>
          <w:p w14:paraId="46B6CB52">
            <w:pPr>
              <w:jc w:val="center"/>
              <w:rPr>
                <w:rFonts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货物名称</w:t>
            </w:r>
          </w:p>
        </w:tc>
        <w:tc>
          <w:tcPr>
            <w:tcW w:w="1122" w:type="dxa"/>
            <w:vAlign w:val="center"/>
          </w:tcPr>
          <w:p w14:paraId="6DA2E240">
            <w:pPr>
              <w:jc w:val="center"/>
              <w:rPr>
                <w:rFonts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2050" w:type="dxa"/>
            <w:vAlign w:val="center"/>
          </w:tcPr>
          <w:p w14:paraId="1CCEACCF">
            <w:pPr>
              <w:jc w:val="center"/>
              <w:rPr>
                <w:rFonts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交货期</w:t>
            </w:r>
          </w:p>
        </w:tc>
        <w:tc>
          <w:tcPr>
            <w:tcW w:w="2987" w:type="dxa"/>
            <w:vAlign w:val="center"/>
          </w:tcPr>
          <w:p w14:paraId="3FC848E8">
            <w:pPr>
              <w:jc w:val="center"/>
              <w:rPr>
                <w:rFonts w:ascii="宋体" w:hAnsi="Bookman Old Style"/>
                <w:color w:val="000000" w:themeColor="text1"/>
                <w:sz w:val="24"/>
                <w:shd w:val="pct10" w:color="auto" w:fill="FFFFFF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项目现场（交货地点）</w:t>
            </w:r>
          </w:p>
        </w:tc>
      </w:tr>
      <w:tr w14:paraId="3A2D34DE">
        <w:tblPrEx>
          <w:tblBorders>
            <w:top w:val="single" w:color="000000" w:sz="6" w:space="0"/>
            <w:left w:val="single" w:color="000000" w:sz="6" w:space="0"/>
            <w:bottom w:val="single" w:color="000000" w:sz="6" w:space="0"/>
            <w:right w:val="sing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963" w:hRule="atLeast"/>
          <w:jc w:val="center"/>
        </w:trPr>
        <w:tc>
          <w:tcPr>
            <w:tcW w:w="704" w:type="dxa"/>
            <w:vAlign w:val="center"/>
          </w:tcPr>
          <w:p w14:paraId="35405030">
            <w:pPr>
              <w:jc w:val="center"/>
              <w:rPr>
                <w:rFonts w:asci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1878" w:type="dxa"/>
            <w:vAlign w:val="center"/>
          </w:tcPr>
          <w:p w14:paraId="7F5101B9">
            <w:pPr>
              <w:jc w:val="center"/>
              <w:rPr>
                <w:rFonts w:ascii="Bookman Old Style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cs="宋体"/>
                <w:color w:val="000000" w:themeColor="text1"/>
                <w:kern w:val="0"/>
                <w:sz w:val="24"/>
                <w14:textFill>
                  <w14:solidFill>
                    <w14:schemeClr w14:val="tx1"/>
                  </w14:solidFill>
                </w14:textFill>
              </w:rPr>
              <w:t>离子束抛光机</w:t>
            </w:r>
          </w:p>
        </w:tc>
        <w:tc>
          <w:tcPr>
            <w:tcW w:w="1122" w:type="dxa"/>
            <w:vAlign w:val="center"/>
          </w:tcPr>
          <w:p w14:paraId="61BC1C11">
            <w:pPr>
              <w:jc w:val="center"/>
              <w:rPr>
                <w:rFonts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eastAsia" w:ascii="宋体" w:hAnsi="宋体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套</w:t>
            </w:r>
          </w:p>
        </w:tc>
        <w:tc>
          <w:tcPr>
            <w:tcW w:w="5037" w:type="dxa"/>
            <w:gridSpan w:val="2"/>
            <w:vAlign w:val="center"/>
          </w:tcPr>
          <w:p w14:paraId="088D922B">
            <w:pPr>
              <w:jc w:val="center"/>
              <w:rPr>
                <w:rFonts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Bookman Old Style"/>
                <w:color w:val="000000" w:themeColor="text1"/>
                <w:sz w:val="24"/>
                <w14:textFill>
                  <w14:solidFill>
                    <w14:schemeClr w14:val="tx1"/>
                  </w14:solidFill>
                </w14:textFill>
              </w:rPr>
              <w:t>详见具体技术规格</w:t>
            </w:r>
          </w:p>
        </w:tc>
      </w:tr>
    </w:tbl>
    <w:p w14:paraId="7351F9CB">
      <w:pPr>
        <w:adjustRightInd w:val="0"/>
        <w:snapToGrid w:val="0"/>
        <w:jc w:val="center"/>
        <w:rPr>
          <w:rFonts w:ascii="宋体" w:hAnsi="宋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2AE8D616">
      <w:pPr>
        <w:adjustRightInd w:val="0"/>
        <w:snapToGrid w:val="0"/>
        <w:jc w:val="center"/>
        <w:rPr>
          <w:rFonts w:ascii="宋体" w:hAnsi="宋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4169CEDA">
      <w:pPr>
        <w:adjustRightInd w:val="0"/>
        <w:snapToGrid w:val="0"/>
        <w:jc w:val="center"/>
        <w:rPr>
          <w:rFonts w:ascii="宋体" w:hAnsi="宋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</w:p>
    <w:p w14:paraId="13315844">
      <w:pPr>
        <w:rPr>
          <w:rFonts w:ascii="Bookman Old Style" w:hAnsi="Bookman Old Style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注：投标人须对上述投标内容中完整的一包或几包进行投标，</w:t>
      </w:r>
      <w:r>
        <w:rPr>
          <w:rFonts w:hint="eastAsia" w:ascii="Bookman Old Style" w:hAnsi="Bookman Old Style"/>
          <w:color w:val="000000" w:themeColor="text1"/>
          <w:sz w:val="24"/>
          <w14:textFill>
            <w14:solidFill>
              <w14:schemeClr w14:val="tx1"/>
            </w14:solidFill>
          </w14:textFill>
        </w:rPr>
        <w:t>不完整的投标将视为非响应性投标予以拒绝。</w:t>
      </w:r>
    </w:p>
    <w:p w14:paraId="6713DEB9">
      <w:pPr>
        <w:adjustRightInd w:val="0"/>
        <w:snapToGrid w:val="0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00545DFD">
      <w:pPr>
        <w:adjustRightInd w:val="0"/>
        <w:snapToGrid w:val="0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3FA67346">
      <w:pPr>
        <w:adjustRightInd w:val="0"/>
        <w:snapToGrid w:val="0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6FA11F64">
      <w:pPr>
        <w:adjustRightInd w:val="0"/>
        <w:snapToGrid w:val="0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133E3B30">
      <w:pPr>
        <w:adjustRightInd w:val="0"/>
        <w:snapToGrid w:val="0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55715DA7">
      <w:pPr>
        <w:adjustRightInd w:val="0"/>
        <w:snapToGrid w:val="0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7922B8DD">
      <w:pPr>
        <w:adjustRightInd w:val="0"/>
        <w:snapToGrid w:val="0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441AF763">
      <w:pPr>
        <w:adjustRightInd w:val="0"/>
        <w:snapToGrid w:val="0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5991699B">
      <w:pPr>
        <w:adjustRightInd w:val="0"/>
        <w:snapToGrid w:val="0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3A8D3494">
      <w:pPr>
        <w:adjustRightInd w:val="0"/>
        <w:snapToGrid w:val="0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5626E05D">
      <w:pPr>
        <w:adjustRightInd w:val="0"/>
        <w:snapToGrid w:val="0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2C7A3E61">
      <w:pPr>
        <w:adjustRightInd w:val="0"/>
        <w:snapToGrid w:val="0"/>
        <w:rPr>
          <w:rFonts w:ascii="宋体" w:hAnsi="宋体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 w14:paraId="68B7ECF9">
      <w:pPr>
        <w:tabs>
          <w:tab w:val="left" w:pos="720"/>
        </w:tabs>
        <w:adjustRightInd w:val="0"/>
        <w:snapToGrid w:val="0"/>
        <w:jc w:val="center"/>
        <w:rPr>
          <w:rFonts w:ascii="宋体" w:hAnsi="宋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br w:type="page"/>
      </w:r>
      <w:r>
        <w:rPr>
          <w:rFonts w:hint="eastAsia" w:ascii="宋体" w:hAnsi="宋体"/>
          <w:b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>二、总则</w:t>
      </w:r>
    </w:p>
    <w:p w14:paraId="730AEF36"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宋体" w:hAnsi="宋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、投标要求</w:t>
      </w:r>
    </w:p>
    <w:p w14:paraId="0587D3E5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1.1 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投标人在准备投标书时，务必在所提供的商品的技术规格文件中，标明型号、商标名称、目录号。</w:t>
      </w:r>
    </w:p>
    <w:p w14:paraId="46D8B39C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1.2  投标人提供的货物须是成熟的全新的产品，其技术规格应符合招标文件的要求。如与招标文件的技术规格有偏差，应提供技术规格偏差的量值或说明（偏离表）。如投标人有意隐瞒对规格要求的偏差或在开标后提出新的偏差，买方有权扣留其投标保证金或/并拒绝其投标。</w:t>
      </w:r>
    </w:p>
    <w:p w14:paraId="026F4317">
      <w:pPr>
        <w:spacing w:line="360" w:lineRule="auto"/>
        <w:ind w:left="554" w:hanging="554" w:hangingChars="231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1.3  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投标人提供的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产品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样本，必须是“原件”而非复印件，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图表、简图、电路图以及印刷电路板图等都应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清晰易读。买方有权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不付任何附加费用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复制这些资料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以供参考。</w:t>
      </w:r>
    </w:p>
    <w:p w14:paraId="016D6D8D">
      <w:pPr>
        <w:spacing w:line="360" w:lineRule="auto"/>
        <w:ind w:left="554" w:hanging="554" w:hangingChars="231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1.4  投标人的投标产品应符合国家有关部门规定的相应技术、计量、节能、安全和环保法规及标准；如国家有关部门对投标人的投标产品有强制性规定或要求的，则投标人的投标产品必须符合相应规定或要求，投标人须提供相关证明文件的复印件。</w:t>
      </w:r>
    </w:p>
    <w:p w14:paraId="5E10636F"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2、评标标准</w:t>
      </w:r>
    </w:p>
    <w:p w14:paraId="35C3866A">
      <w:pPr>
        <w:spacing w:line="360" w:lineRule="auto"/>
        <w:ind w:left="554" w:hanging="554" w:hangingChars="231"/>
        <w:rPr>
          <w:rFonts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1  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除招标文件中指定的附件和专用工具外，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投标人应提供仪器设备的正常运行和常规保养所需的全套标准附件、专用工具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和消耗品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。投标人在投标书中需列出这些附件和工具的数量和单价的清单，这些附件和工具的报价的总值需计入投标价中。</w:t>
      </w:r>
    </w:p>
    <w:p w14:paraId="2908693A">
      <w:pPr>
        <w:spacing w:line="360" w:lineRule="auto"/>
        <w:ind w:left="554" w:hanging="554" w:hangingChars="231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2.2  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对于标书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技术规范中已列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出的作为查询选件的附件、零配件、专用工具和消耗品，投标书中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应列明其数量、单价、总价供买方参考。投标人也可推荐买方没有要求的附件或专用工具作为选件，并列明其数量、单价、总价供买方参考。选件价格不计入评标价中。</w:t>
      </w:r>
    </w:p>
    <w:p w14:paraId="42B98BF2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2.3  为便于用户进行接收仪器的准备工作，卖方应在合同生效后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60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天内向用户提供一套完整的使用说明书、操作手册、维修及安装说明等文件。另一套完整上述资料应在交货时随货包装提供给用户，这些费用应计入投标价中。</w:t>
      </w:r>
    </w:p>
    <w:p w14:paraId="633A8D64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.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关于设备的安装调试，如果有必要的安装准备条件，卖方应在合同生效后一个月内向买方提出详细的要求或计划。安装调试的费用应计入投标价中，并应单独列出，供评标使用。</w:t>
      </w:r>
    </w:p>
    <w:p w14:paraId="584F244C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2.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5  制造厂家提供的培训指的是涉及货物的基本原理、操作使用和保养维修等有关内容的培训。培训教员的培训费、旅费、食宿费等费用和培训场地费及培训资料费均应由卖方支付。</w:t>
      </w:r>
    </w:p>
    <w:p w14:paraId="6F3051D2"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3、工作条件</w:t>
      </w:r>
    </w:p>
    <w:p w14:paraId="2BBFD9CE">
      <w:pPr>
        <w:spacing w:after="312" w:afterLines="100" w:line="360" w:lineRule="auto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除非在技术规格中另有说明，所有仪器、设备和系统都应符合下列要求：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</w:p>
    <w:p w14:paraId="7A1378B1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3.1  适于在气温为摄氏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-40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℃～＋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50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℃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和相对湿度为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90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％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的环境条件下运输和贮存。</w:t>
      </w:r>
    </w:p>
    <w:p w14:paraId="580A1BBB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3.2  适于在电源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22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0V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（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sym w:font="Symbol" w:char="F0B1"/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10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％）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/50Hz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、气温摄氏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+1</w:t>
      </w:r>
      <w:r>
        <w:rPr>
          <w:rFonts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℃～＋30℃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和相对湿度小于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80％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的环境条件下运行。</w:t>
      </w:r>
      <w:r>
        <w:rPr>
          <w:rFonts w:hint="eastAsia" w:ascii="宋体" w:hAnsi="宋体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能够连续正常工作。</w:t>
      </w:r>
    </w:p>
    <w:p w14:paraId="16D6B179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3.3  配置符合中国有关标准要求的插头，如果没有这样的插头，则需</w:t>
      </w:r>
      <w:r>
        <w:rPr>
          <w:rFonts w:hint="eastAsia" w:asci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提供适当的转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换插座。</w:t>
      </w:r>
    </w:p>
    <w:p w14:paraId="45632EF2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3.4  如产品达不到上述要求，投标人应注明其偏差。如仪器设备需要特殊工作条件（如水、电源、磁场强度、温度、湿度、动强度等）投标人应在投标书中加以说明。</w:t>
      </w:r>
    </w:p>
    <w:p w14:paraId="090CD867">
      <w:pPr>
        <w:rPr>
          <w:rFonts w:eastAsia="黑体"/>
          <w:b/>
          <w:bCs/>
          <w:color w:val="000000" w:themeColor="text1"/>
          <w:kern w:val="44"/>
          <w:sz w:val="24"/>
          <w14:textFill>
            <w14:solidFill>
              <w14:schemeClr w14:val="tx1"/>
            </w14:solidFill>
          </w14:textFill>
        </w:rPr>
      </w:pPr>
    </w:p>
    <w:p w14:paraId="4CD69CC4">
      <w:pPr>
        <w:spacing w:before="156" w:beforeLines="50" w:after="156" w:afterLines="50" w:line="360" w:lineRule="auto"/>
        <w:ind w:left="601" w:hanging="601"/>
        <w:rPr>
          <w:rFonts w:ascii="宋体" w:hAnsi="宋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4、验收标准</w:t>
      </w:r>
    </w:p>
    <w:p w14:paraId="6048F1A1">
      <w:pPr>
        <w:spacing w:after="312" w:afterLines="100" w:line="360" w:lineRule="auto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除非在技术规格中另有说明，所有仪器、设备和系统按下列要求进行验收：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</w:p>
    <w:p w14:paraId="696A92F0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4.1  仪器设备运抵安装现场后，买方将与卖方共同开箱验收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如卖方届时不派人来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则验收结果应以买方的验收报告为最终验收结果。验收时发现短缺、破损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买方有权要求卖方负责更换。</w:t>
      </w:r>
    </w:p>
    <w:p w14:paraId="3893FF25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4.2  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验收标准以中标人提供的投标文件中所列的指标为准（该指标应不低于招标文件所要求的指标）。任何虚假指标响应一经发现即作废标，卖方必须承担由此给买方带来的一切经济损失和其它相关责任。</w:t>
      </w:r>
    </w:p>
    <w:p w14:paraId="20AFEEE2">
      <w:pPr>
        <w:spacing w:line="360" w:lineRule="auto"/>
        <w:ind w:left="554" w:hanging="554" w:hangingChars="231"/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4.3  </w:t>
      </w:r>
      <w:r>
        <w:rPr>
          <w:rFonts w:ascii="宋体" w:hAnsi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>验收由采购人、中标人及相关人员依国家有关标准、合同及有关附件要求进行，验收完毕由采购人及中标人在验收报告上签名。</w:t>
      </w:r>
    </w:p>
    <w:p w14:paraId="186C0FAC">
      <w:pPr>
        <w:pStyle w:val="3"/>
        <w:spacing w:line="360" w:lineRule="auto"/>
        <w:ind w:left="410" w:hanging="410" w:hangingChars="170"/>
        <w:rPr>
          <w:rFonts w:hAnsi="宋体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04A1FC79">
      <w:pPr>
        <w:pStyle w:val="3"/>
        <w:spacing w:line="360" w:lineRule="auto"/>
        <w:ind w:left="410" w:hanging="410" w:hangingChars="170"/>
        <w:rPr>
          <w:rFonts w:hAnsi="宋体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hAnsi="宋体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5、本技术规格书中标注“*”号的为实质性要求，不满足其投标将被拒绝。</w:t>
      </w:r>
    </w:p>
    <w:p w14:paraId="555F7045">
      <w:pPr>
        <w:pStyle w:val="3"/>
        <w:spacing w:line="360" w:lineRule="auto"/>
        <w:rPr>
          <w:rFonts w:hAnsi="宋体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hAnsi="宋体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6、如在具体技术规格中有本总则不一致之处，以具体技术规格中的要求为准。</w:t>
      </w:r>
    </w:p>
    <w:p w14:paraId="4962D764">
      <w:pPr>
        <w:spacing w:after="156" w:afterLines="50"/>
        <w:ind w:left="601" w:hanging="601"/>
        <w:rPr>
          <w:rFonts w:ascii="宋体" w:hAnsi="宋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color w:val="000000" w:themeColor="text1"/>
          <w:sz w:val="28"/>
          <w14:textFill>
            <w14:solidFill>
              <w14:schemeClr w14:val="tx1"/>
            </w14:solidFill>
          </w14:textFill>
        </w:rPr>
        <w:t>三、具体技术规格</w:t>
      </w:r>
    </w:p>
    <w:p w14:paraId="6FEDE660">
      <w:pP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14ABE2EB">
      <w:pPr>
        <w:jc w:val="center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第1包 </w:t>
      </w:r>
      <w:r>
        <w:rPr>
          <w:rFonts w:hint="eastAsia" w:ascii="宋体" w:hAnsi="宋体" w:cs="宋体"/>
          <w:b/>
          <w:bCs/>
          <w:color w:val="000000" w:themeColor="text1"/>
          <w:kern w:val="0"/>
          <w:sz w:val="24"/>
          <w14:textFill>
            <w14:solidFill>
              <w14:schemeClr w14:val="tx1"/>
            </w14:solidFill>
          </w14:textFill>
        </w:rPr>
        <w:t>离子束抛光机</w:t>
      </w:r>
    </w:p>
    <w:p w14:paraId="212D1688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59C62BFB">
      <w:pPr>
        <w:numPr>
          <w:ilvl w:val="0"/>
          <w:numId w:val="1"/>
        </w:num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技术要求：</w:t>
      </w:r>
    </w:p>
    <w:p w14:paraId="22922E74">
      <w:pPr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5D0CCBB1">
      <w:pPr>
        <w:numPr>
          <w:ilvl w:val="0"/>
          <w:numId w:val="2"/>
        </w:num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工作条件：</w:t>
      </w:r>
    </w:p>
    <w:p w14:paraId="4EEF1DF1">
      <w:pPr>
        <w:spacing w:line="360" w:lineRule="auto"/>
        <w:rPr>
          <w:color w:val="000000" w:themeColor="text1"/>
          <w:position w:val="-16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position w:val="-16"/>
          <w:sz w:val="24"/>
          <w14:textFill>
            <w14:solidFill>
              <w14:schemeClr w14:val="tx1"/>
            </w14:solidFill>
          </w14:textFill>
        </w:rPr>
        <w:t>1.1 设备工作在车间环境，室温﹢15℃～25℃和相对湿度≤75%，供电电源380V（±10%）/50Hz，三相五线制，连续稳定工作时间≥100h。</w:t>
      </w:r>
    </w:p>
    <w:p w14:paraId="465C7BD2">
      <w:pPr>
        <w:spacing w:line="360" w:lineRule="auto"/>
        <w:ind w:left="435" w:firstLine="24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6506F5E3">
      <w:pPr>
        <w:numPr>
          <w:ilvl w:val="0"/>
          <w:numId w:val="2"/>
        </w:num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设备用途：</w:t>
      </w:r>
    </w:p>
    <w:p w14:paraId="5713F40F">
      <w:pPr>
        <w:spacing w:line="360" w:lineRule="auto"/>
        <w:ind w:firstLine="480" w:firstLineChars="200"/>
        <w:rPr>
          <w:color w:val="000000" w:themeColor="text1"/>
          <w:position w:val="-16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position w:val="-16"/>
          <w:sz w:val="24"/>
          <w14:textFill>
            <w14:solidFill>
              <w14:schemeClr w14:val="tx1"/>
            </w14:solidFill>
          </w14:textFill>
        </w:rPr>
        <w:t>为一台专用于φ2米量级光学元件的离子束抛光系统，最大可加工光学元件的口径为φ2米，厚度500mm的光学元件。设备占地面积≤7mx7m，高度≤4m，工件采用径加工φ2米工件。最终面形加工精度优于1/10波长PV，1/100波长RMS（波长取632.8nm），表面粗糙度优于1nmRMS。</w:t>
      </w:r>
    </w:p>
    <w:p w14:paraId="3386C130">
      <w:pPr>
        <w:spacing w:line="360" w:lineRule="auto"/>
        <w:ind w:firstLine="480" w:firstLineChars="200"/>
        <w:rPr>
          <w:color w:val="000000" w:themeColor="text1"/>
          <w:position w:val="-16"/>
          <w:sz w:val="24"/>
          <w14:textFill>
            <w14:solidFill>
              <w14:schemeClr w14:val="tx1"/>
            </w14:solidFill>
          </w14:textFill>
        </w:rPr>
      </w:pPr>
    </w:p>
    <w:p w14:paraId="53AE0AD4">
      <w:pPr>
        <w:numPr>
          <w:ilvl w:val="0"/>
          <w:numId w:val="2"/>
        </w:num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技术规格：</w:t>
      </w:r>
    </w:p>
    <w:p w14:paraId="56E2504A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3.1总体性能指标</w:t>
      </w:r>
    </w:p>
    <w:p w14:paraId="432F0897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3.1.1 设备主要包括：真空系统、运动系统、离子源系统、工件翻转装夹系统、电气控制系统、水冷系统、工艺软件等；</w:t>
      </w:r>
    </w:p>
    <w:p w14:paraId="7E695D4C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3.1.2 设备运动与加工方式：单真空室结构，工件安装方式为立式，离子源安装方式为卧式；</w:t>
      </w:r>
    </w:p>
    <w:p w14:paraId="2B2D21A6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3.1.3设备可加工的光学元件类型</w:t>
      </w:r>
    </w:p>
    <w:p w14:paraId="7D70ACA6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（1）材料：光学材料（微晶玻璃、ULE、融石英、K9）、单晶材料（Si、锗、单晶SiC）、红外材料等；</w:t>
      </w:r>
    </w:p>
    <w:p w14:paraId="669C6A38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（2）光学表面：平面、球面、非球面、自由曲面；</w:t>
      </w:r>
    </w:p>
    <w:p w14:paraId="19A3C162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（3）镜面外形：圆形、椭圆、长方形等。</w:t>
      </w:r>
    </w:p>
    <w:p w14:paraId="3A3E9AAD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*3.1.4 可加工的光学元件尺寸：</w:t>
      </w:r>
    </w:p>
    <w:p w14:paraId="0EC0C308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（1）真空室可实现加工工件最大口径≥φ2000mm、厚度≥500mm；</w:t>
      </w:r>
    </w:p>
    <w:p w14:paraId="1406B7C4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（2）真空室工件装夹系统可承载的工件重量≥2500Kg（含镜框）；</w:t>
      </w:r>
    </w:p>
    <w:p w14:paraId="60C493F9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3.1.5 设备总体规格：</w:t>
      </w:r>
    </w:p>
    <w:p w14:paraId="706D9304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（1）设备腔体重量≤25t；</w:t>
      </w:r>
    </w:p>
    <w:p w14:paraId="36ADFF4F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（2）电源三相五线制380V，50Hz，总功率≤50kW；</w:t>
      </w:r>
    </w:p>
    <w:p w14:paraId="4C28411B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（3）使用环境温度：18℃～25℃；</w:t>
      </w:r>
    </w:p>
    <w:p w14:paraId="3F56869F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（4）使用相对湿度：≤75%；</w:t>
      </w:r>
    </w:p>
    <w:p w14:paraId="7577451F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（5）气源压力：0.6～0.8Mpa；</w:t>
      </w:r>
    </w:p>
    <w:p w14:paraId="7BA39B69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#（6）设备占地总面积：≤7m</w:t>
      </w:r>
      <w:r>
        <w:rPr>
          <w:rFonts w:hint="eastAsia"/>
          <w:color w:val="000000" w:themeColor="text1"/>
          <w:sz w:val="18"/>
          <w:szCs w:val="18"/>
          <w14:textFill>
            <w14:solidFill>
              <w14:schemeClr w14:val="tx1"/>
            </w14:solidFill>
          </w14:textFill>
        </w:rPr>
        <w:t>╳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7m，总高：≤4m；</w:t>
      </w:r>
    </w:p>
    <w:p w14:paraId="4E8E13BD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#3.1.6 红外测温监控系统，实时监控镜面温度变化。测温范围：﹢20℃～1000℃，测量距离345mm～4300mm。</w:t>
      </w:r>
    </w:p>
    <w:p w14:paraId="3B981898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3.2运动系统</w:t>
      </w:r>
    </w:p>
    <w:p w14:paraId="54F45E60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3.2.1 运动机构为3轴3联动，具有有效的防护措施，避免材料溅射污染；各轴可自由设定零点；</w:t>
      </w:r>
    </w:p>
    <w:p w14:paraId="3DD57CF0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#3.2.2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X、Y轴运动行程：≥2100mm；</w:t>
      </w:r>
    </w:p>
    <w:p w14:paraId="4226EAE3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3.2.3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Z轴运动行程：≥300mm；</w:t>
      </w:r>
    </w:p>
    <w:p w14:paraId="6A0DEF4A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#3.2.4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X、Y、Z轴最大运动速度：≥6m/min，其中X/Y轴最大加速度5m/S</w:t>
      </w:r>
      <w:r>
        <w:rPr>
          <w:rFonts w:hint="eastAsia"/>
          <w:color w:val="000000" w:themeColor="text1"/>
          <w:sz w:val="24"/>
          <w:vertAlign w:val="superscript"/>
          <w14:textFill>
            <w14:solidFill>
              <w14:schemeClr w14:val="tx1"/>
            </w14:solidFill>
          </w14:textFill>
        </w:rPr>
        <w:t>2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;</w:t>
      </w:r>
    </w:p>
    <w:p w14:paraId="33A1C825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3.2.5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X、Y、Z轴重复定位误差：≤0.01mm；</w:t>
      </w:r>
    </w:p>
    <w:p w14:paraId="6087FA3F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#3.2.6</w:t>
      </w:r>
      <w:r>
        <w:rPr>
          <w:rFonts w:hint="eastAsia" w:ascii="宋体" w:hAnsi="宋体" w:cs="宋体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X、Y、Z轴几何精度：直线度≤20μm/1000mm，垂直度Z⊥X、Z⊥Y、X⊥Y≤15μm/500mm；</w:t>
      </w:r>
    </w:p>
    <w:p w14:paraId="5B9835AD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3.2.7 三坐标测头重复定位精度：≤±0.005mm；</w:t>
      </w:r>
    </w:p>
    <w:p w14:paraId="7950122C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3.3离子源指标</w:t>
      </w:r>
    </w:p>
    <w:p w14:paraId="0FD62A82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#3.3.1 离子源为成熟的广泛应用的射频离子源，配备射频离子源RF80mm和RF40mm两种口径离子源各一套，连续稳定工作时间≥100h；</w:t>
      </w:r>
    </w:p>
    <w:p w14:paraId="26296EE8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*3.3.2 去除函数为高斯型，体积去除率24小时不稳定性≤5%；</w:t>
      </w:r>
    </w:p>
    <w:p w14:paraId="1E907E2B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3.3.3 配置至少3种规格栅网、口径范围30～80mm，并搭配不少于10种孔径规格的离子光阑；</w:t>
      </w:r>
    </w:p>
    <w:p w14:paraId="284500D4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3.3.4 离子最大能量：≥1200eV；</w:t>
      </w:r>
    </w:p>
    <w:p w14:paraId="7A3D8A3F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3.3.5 最大射频功率：≥600W；</w:t>
      </w:r>
    </w:p>
    <w:p w14:paraId="25ED8CCC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3.3.6 配置法拉第杯，杯口直径：φ1mm；</w:t>
      </w:r>
    </w:p>
    <w:p w14:paraId="253F35F8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3.4 真空系统性能指标</w:t>
      </w:r>
    </w:p>
    <w:p w14:paraId="050625FE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*3.4.1 真空室极限真空度：≤1x10</w:t>
      </w:r>
      <w:r>
        <w:rPr>
          <w:rFonts w:hint="eastAsia"/>
          <w:color w:val="000000" w:themeColor="text1"/>
          <w:sz w:val="24"/>
          <w:vertAlign w:val="superscript"/>
          <w14:textFill>
            <w14:solidFill>
              <w14:schemeClr w14:val="tx1"/>
            </w14:solidFill>
          </w14:textFill>
        </w:rPr>
        <w:t>-4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Pa；</w:t>
      </w:r>
    </w:p>
    <w:p w14:paraId="57EC2BE8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3.4.2 工作真空度：≤1x10</w:t>
      </w:r>
      <w:r>
        <w:rPr>
          <w:rFonts w:hint="eastAsia"/>
          <w:color w:val="000000" w:themeColor="text1"/>
          <w:sz w:val="24"/>
          <w:vertAlign w:val="superscript"/>
          <w14:textFill>
            <w14:solidFill>
              <w14:schemeClr w14:val="tx1"/>
            </w14:solidFill>
          </w14:textFill>
        </w:rPr>
        <w:t>-2</w:t>
      </w: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Pa；</w:t>
      </w:r>
    </w:p>
    <w:p w14:paraId="1A5D4AAF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#3.4.3 从常压达到工作真空度的抽真空时间：≤1hour；</w:t>
      </w:r>
    </w:p>
    <w:p w14:paraId="0806E888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3.5工件翻转装夹系统</w:t>
      </w:r>
    </w:p>
    <w:p w14:paraId="0C134B6D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3.5.1 工件翻转小车用于镜片翻转装夹使用，使镜面由水平状态翻转至垂直状态；</w:t>
      </w:r>
    </w:p>
    <w:p w14:paraId="5B4159E8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3.5.2 翻转小车承重≥2500kg（含镜框）；</w:t>
      </w:r>
    </w:p>
    <w:p w14:paraId="7522F3CB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3.5.3 翻转小车应具有方便快速装夹、翻转功能；</w:t>
      </w:r>
    </w:p>
    <w:p w14:paraId="58EF9CC5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3.5.4 翻转小车方便与真空腔室对接；</w:t>
      </w:r>
    </w:p>
    <w:p w14:paraId="7B5E0C4D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#3.5.5 装夹系统应可适应不同镜子厚度的加工要求，加工时镜片为垂直状态（即镜面光轴水平），固定可靠无松动，可抵御抽放真空导致的冲击且不允许对镜片产生装夹应力。</w:t>
      </w:r>
    </w:p>
    <w:p w14:paraId="620AE4E6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3.6水冷机</w:t>
      </w:r>
    </w:p>
    <w:p w14:paraId="56FC405E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3.6.1 用于冷却离子源和真空泵等需要冷却的设备；</w:t>
      </w:r>
    </w:p>
    <w:p w14:paraId="263E36CF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3.6.2 温度范围控制在18℃～25℃；</w:t>
      </w:r>
    </w:p>
    <w:p w14:paraId="3BC962D0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3.6.3 温度稳定性：±2℃（8小时内）；</w:t>
      </w:r>
    </w:p>
    <w:p w14:paraId="37E0A792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3.6.4 制冷量：≥2.5Kw。</w:t>
      </w:r>
    </w:p>
    <w:p w14:paraId="408955FE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3.7工艺控制及其它功能</w:t>
      </w:r>
    </w:p>
    <w:p w14:paraId="6FB4D5D3">
      <w:pPr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工艺控制系统需高度集成，同一软件可对真空系统、运动系统、离子源系统、水电气系统、镜面温度监控系统实时有效监控。并可对其过程进行状态监控、反馈、控制、操作等。工艺软件可进行自动对刀、数据处理、驻留时间计算、误差补偿、数控代码转化、加工结果分析和加工报告生成等功能。</w:t>
      </w:r>
    </w:p>
    <w:p w14:paraId="077BF6B8">
      <w:pPr>
        <w:spacing w:line="360" w:lineRule="auto"/>
        <w:ind w:firstLine="48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7F76C745">
      <w:p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:highlight w:val="lightGray"/>
          <w14:textFill>
            <w14:solidFill>
              <w14:schemeClr w14:val="tx1"/>
            </w14:solidFill>
          </w14:textFill>
        </w:rPr>
        <w:t>（四）</w:t>
      </w: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交货日期：</w:t>
      </w:r>
    </w:p>
    <w:p w14:paraId="0AC7AEEF">
      <w:pPr>
        <w:pStyle w:val="2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合同签订后10个月内</w:t>
      </w:r>
    </w:p>
    <w:p w14:paraId="298ECCE2">
      <w:pPr>
        <w:spacing w:line="360" w:lineRule="auto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 w14:paraId="6656CD92">
      <w:pPr>
        <w:numPr>
          <w:ilvl w:val="0"/>
          <w:numId w:val="3"/>
        </w:numPr>
        <w:spacing w:line="360" w:lineRule="auto"/>
        <w:rPr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color w:val="000000" w:themeColor="text1"/>
          <w:sz w:val="24"/>
          <w14:textFill>
            <w14:solidFill>
              <w14:schemeClr w14:val="tx1"/>
            </w14:solidFill>
          </w14:textFill>
        </w:rPr>
        <w:t>执行的相关标准：</w:t>
      </w:r>
    </w:p>
    <w:p w14:paraId="2B194138">
      <w:pPr>
        <w:pStyle w:val="2"/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设备设计制造和安全防护按照国家标准《GJB900A-2012装备安全性工作通用要求》进行设计和制造</w:t>
      </w:r>
    </w:p>
    <w:p w14:paraId="02E7B965">
      <w:pPr>
        <w:pStyle w:val="2"/>
        <w:spacing w:line="360" w:lineRule="auto"/>
        <w:ind w:firstLine="480" w:firstLineChars="200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4"/>
          <w14:textFill>
            <w14:solidFill>
              <w14:schemeClr w14:val="tx1"/>
            </w14:solidFill>
          </w14:textFill>
        </w:rPr>
        <w:t>检验依据《GB_T17421机床检验通则》</w:t>
      </w:r>
    </w:p>
    <w:p w14:paraId="039243E9"/>
    <w:sectPr>
      <w:footerReference r:id="rId5" w:type="first"/>
      <w:headerReference r:id="rId3" w:type="default"/>
      <w:footerReference r:id="rId4" w:type="default"/>
      <w:pgSz w:w="11906" w:h="16838"/>
      <w:pgMar w:top="1418" w:right="1418" w:bottom="1418" w:left="1418" w:header="851" w:footer="992" w:gutter="0"/>
      <w:pgNumType w:start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3D0714">
    <w:pPr>
      <w:pStyle w:val="4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26</w:t>
    </w:r>
    <w: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338125">
    <w:pPr>
      <w:pStyle w:val="4"/>
      <w:jc w:val="center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C00613">
    <w:pPr>
      <w:pStyle w:val="5"/>
      <w:jc w:val="both"/>
    </w:pPr>
    <w:r>
      <w:rPr>
        <w:rFonts w:hint="eastAsia"/>
        <w:i/>
      </w:rPr>
      <w:t>东方国际招标有限责任公司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A3E494D"/>
    <w:multiLevelType w:val="singleLevel"/>
    <w:tmpl w:val="AA3E494D"/>
    <w:lvl w:ilvl="0" w:tentative="0">
      <w:start w:val="5"/>
      <w:numFmt w:val="chineseCounting"/>
      <w:suff w:val="space"/>
      <w:lvlText w:val="（%1）"/>
      <w:lvlJc w:val="left"/>
      <w:rPr>
        <w:rFonts w:hint="eastAsia"/>
      </w:rPr>
    </w:lvl>
  </w:abstractNum>
  <w:abstractNum w:abstractNumId="1">
    <w:nsid w:val="D785B104"/>
    <w:multiLevelType w:val="singleLevel"/>
    <w:tmpl w:val="D785B10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4E5B42B3"/>
    <w:multiLevelType w:val="multilevel"/>
    <w:tmpl w:val="4E5B42B3"/>
    <w:lvl w:ilvl="0" w:tentative="0">
      <w:start w:val="1"/>
      <w:numFmt w:val="decimal"/>
      <w:lvlText w:val="%1."/>
      <w:lvlJc w:val="left"/>
      <w:pPr>
        <w:tabs>
          <w:tab w:val="left" w:pos="360"/>
        </w:tabs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11C"/>
    <w:rsid w:val="000C2E31"/>
    <w:rsid w:val="0043511C"/>
    <w:rsid w:val="005A4FA7"/>
    <w:rsid w:val="00687012"/>
    <w:rsid w:val="009E39CC"/>
    <w:rsid w:val="00ED6565"/>
    <w:rsid w:val="2FE21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nhideWhenUsed="0" w:uiPriority="0" w:semiHidden="0" w:name="annotation text"/>
    <w:lsdException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0"/>
    <w:uiPriority w:val="0"/>
    <w:pPr>
      <w:jc w:val="left"/>
    </w:pPr>
  </w:style>
  <w:style w:type="paragraph" w:styleId="3">
    <w:name w:val="Plain Text"/>
    <w:basedOn w:val="1"/>
    <w:link w:val="11"/>
    <w:qFormat/>
    <w:uiPriority w:val="0"/>
    <w:rPr>
      <w:rFonts w:ascii="宋体" w:hAnsi="Courier New"/>
      <w:szCs w:val="20"/>
    </w:rPr>
  </w:style>
  <w:style w:type="paragraph" w:styleId="4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unhideWhenUsed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字符"/>
    <w:basedOn w:val="7"/>
    <w:link w:val="5"/>
    <w:qFormat/>
    <w:uiPriority w:val="99"/>
    <w:rPr>
      <w:sz w:val="18"/>
      <w:szCs w:val="18"/>
    </w:rPr>
  </w:style>
  <w:style w:type="character" w:customStyle="1" w:styleId="9">
    <w:name w:val="页脚 字符"/>
    <w:basedOn w:val="7"/>
    <w:link w:val="4"/>
    <w:qFormat/>
    <w:uiPriority w:val="99"/>
    <w:rPr>
      <w:sz w:val="18"/>
      <w:szCs w:val="18"/>
    </w:rPr>
  </w:style>
  <w:style w:type="character" w:customStyle="1" w:styleId="10">
    <w:name w:val="批注文字 字符"/>
    <w:basedOn w:val="7"/>
    <w:link w:val="2"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">
    <w:name w:val="纯文本 字符"/>
    <w:basedOn w:val="7"/>
    <w:link w:val="3"/>
    <w:qFormat/>
    <w:uiPriority w:val="0"/>
    <w:rPr>
      <w:rFonts w:ascii="宋体" w:hAnsi="Courier New" w:eastAsia="宋体" w:cs="Times New Roman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2945</Words>
  <Characters>3384</Characters>
  <Lines>25</Lines>
  <Paragraphs>7</Paragraphs>
  <TotalTime>1</TotalTime>
  <ScaleCrop>false</ScaleCrop>
  <LinksUpToDate>false</LinksUpToDate>
  <CharactersWithSpaces>3460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2024-08-09T12:41:00Z</dcterms:created>
  <dc:creator>lenovo</dc:creator>
  <cp:lastModifiedBy>清</cp:lastModifiedBy>
  <dcterms:modified xsi:type="dcterms:W3CDTF">2024-08-10T01:56:53Z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B83B330D3F9046A2A4B49113E9D8E8C2_13</vt:lpwstr>
  </property>
</Properties>
</file>