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D4326">
      <w:pPr>
        <w:adjustRightInd w:val="0"/>
        <w:snapToGrid w:val="0"/>
        <w:spacing w:before="936" w:beforeLines="300"/>
        <w:jc w:val="center"/>
        <w:rPr>
          <w:rFonts w:ascii="黑体" w:hAnsi="Times New Roman" w:eastAsia="黑体" w:cs="Times New Roman"/>
          <w:b/>
          <w:color w:val="000000"/>
          <w:kern w:val="44"/>
          <w:sz w:val="48"/>
          <w:szCs w:val="20"/>
        </w:rPr>
      </w:pPr>
      <w:bookmarkStart w:id="0" w:name="_GoBack"/>
      <w:bookmarkEnd w:id="0"/>
      <w:r>
        <w:rPr>
          <w:rFonts w:hint="eastAsia" w:ascii="黑体" w:hAnsi="Times New Roman" w:eastAsia="黑体" w:cs="Times New Roman"/>
          <w:b/>
          <w:color w:val="000000"/>
          <w:kern w:val="44"/>
          <w:sz w:val="48"/>
          <w:szCs w:val="20"/>
        </w:rPr>
        <w:t>第八部分  采购需求</w:t>
      </w:r>
      <w:r>
        <w:rPr>
          <w:rFonts w:hint="eastAsia" w:ascii="黑体" w:hAnsi="Times New Roman" w:eastAsia="黑体" w:cs="Times New Roman"/>
          <w:b/>
          <w:color w:val="000000"/>
          <w:kern w:val="44"/>
          <w:sz w:val="48"/>
          <w:szCs w:val="20"/>
        </w:rPr>
        <w:br w:type="page"/>
      </w:r>
    </w:p>
    <w:p w14:paraId="0575CBDC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  <w:r>
        <w:rPr>
          <w:rFonts w:hint="eastAsia" w:ascii="宋体" w:hAnsi="宋体" w:eastAsia="宋体" w:cs="Times New Roman"/>
          <w:b/>
          <w:color w:val="000000"/>
          <w:sz w:val="30"/>
          <w:szCs w:val="30"/>
        </w:rPr>
        <w:t>一、货物需求一览表</w:t>
      </w:r>
    </w:p>
    <w:p w14:paraId="131A70F3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</w:p>
    <w:tbl>
      <w:tblPr>
        <w:tblStyle w:val="2"/>
        <w:tblW w:w="874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9"/>
        <w:gridCol w:w="1123"/>
        <w:gridCol w:w="1011"/>
        <w:gridCol w:w="1568"/>
        <w:gridCol w:w="2460"/>
      </w:tblGrid>
      <w:tr w14:paraId="35C73A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6BC56C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包号</w:t>
            </w:r>
          </w:p>
        </w:tc>
        <w:tc>
          <w:tcPr>
            <w:tcW w:w="18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81C92A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货物名称</w:t>
            </w:r>
          </w:p>
        </w:tc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0F3B54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0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A63F502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交货期</w:t>
            </w:r>
          </w:p>
        </w:tc>
        <w:tc>
          <w:tcPr>
            <w:tcW w:w="15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BB325B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指定到货港</w:t>
            </w:r>
          </w:p>
        </w:tc>
        <w:tc>
          <w:tcPr>
            <w:tcW w:w="24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87A4B9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  <w:shd w:val="pct10" w:color="auto" w:fill="FFFFFF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项目现场（交货地点）</w:t>
            </w:r>
          </w:p>
        </w:tc>
      </w:tr>
      <w:tr w14:paraId="3E7247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72E66B5">
            <w:pPr>
              <w:jc w:val="center"/>
              <w:rPr>
                <w:rFonts w:hint="eastAsia" w:ascii="宋体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26F816">
            <w:pPr>
              <w:jc w:val="center"/>
              <w:rPr>
                <w:rFonts w:hint="eastAsia" w:ascii="Bookman Old Style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激光共聚焦正置显微镜</w:t>
            </w:r>
          </w:p>
        </w:tc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081EAA">
            <w:pPr>
              <w:jc w:val="center"/>
              <w:rPr>
                <w:rFonts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1套</w:t>
            </w:r>
          </w:p>
        </w:tc>
        <w:tc>
          <w:tcPr>
            <w:tcW w:w="5037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68D1BDA">
            <w:pPr>
              <w:jc w:val="center"/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Bookman Old Style" w:eastAsia="宋体" w:cs="Times New Roman"/>
                <w:color w:val="000000"/>
                <w:sz w:val="24"/>
                <w:szCs w:val="24"/>
              </w:rPr>
              <w:t>详见具体技术规格</w:t>
            </w:r>
          </w:p>
        </w:tc>
      </w:tr>
    </w:tbl>
    <w:p w14:paraId="41318469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</w:p>
    <w:p w14:paraId="23B18318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</w:p>
    <w:p w14:paraId="6BFEE61D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</w:p>
    <w:p w14:paraId="2CCEE1CB">
      <w:pPr>
        <w:rPr>
          <w:rFonts w:hint="eastAsia" w:ascii="Bookman Old Style" w:hAnsi="Bookman Old Style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注：投标人须对上述投标内容中完整的一包或几包进行投标，</w:t>
      </w:r>
      <w:r>
        <w:rPr>
          <w:rFonts w:hint="eastAsia" w:ascii="Bookman Old Style" w:hAnsi="Bookman Old Style" w:eastAsia="宋体" w:cs="Times New Roman"/>
          <w:color w:val="000000"/>
          <w:sz w:val="24"/>
          <w:szCs w:val="24"/>
        </w:rPr>
        <w:t>不完整的投标将视为非响应性投标予以拒绝。</w:t>
      </w:r>
    </w:p>
    <w:p w14:paraId="17B8FAF2">
      <w:pPr>
        <w:adjustRightInd w:val="0"/>
        <w:snapToGrid w:val="0"/>
        <w:rPr>
          <w:rFonts w:ascii="宋体" w:hAnsi="宋体" w:eastAsia="宋体" w:cs="Times New Roman"/>
          <w:color w:val="000000"/>
          <w:szCs w:val="21"/>
        </w:rPr>
      </w:pPr>
    </w:p>
    <w:p w14:paraId="2E7FD35B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78DC21CC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300983D9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7813F5AB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30C49928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01346D13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534927B3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3884E7E7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5DC1611B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5EB740FE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3745379A">
      <w:pPr>
        <w:adjustRightInd w:val="0"/>
        <w:snapToGrid w:val="0"/>
        <w:rPr>
          <w:rFonts w:hint="eastAsia" w:ascii="宋体" w:hAnsi="宋体" w:eastAsia="宋体" w:cs="Times New Roman"/>
          <w:color w:val="000000"/>
          <w:szCs w:val="21"/>
        </w:rPr>
      </w:pPr>
    </w:p>
    <w:p w14:paraId="7572D4ED">
      <w:pPr>
        <w:tabs>
          <w:tab w:val="left" w:pos="720"/>
        </w:tabs>
        <w:adjustRightInd w:val="0"/>
        <w:snapToGrid w:val="0"/>
        <w:jc w:val="center"/>
        <w:rPr>
          <w:rFonts w:hint="eastAsia" w:ascii="宋体" w:hAnsi="宋体" w:eastAsia="宋体" w:cs="Times New Roman"/>
          <w:b/>
          <w:color w:val="000000"/>
          <w:sz w:val="30"/>
          <w:szCs w:val="30"/>
        </w:rPr>
      </w:pPr>
      <w:r>
        <w:rPr>
          <w:rFonts w:hint="eastAsia" w:ascii="宋体" w:hAnsi="宋体" w:eastAsia="宋体" w:cs="Times New Roman"/>
          <w:b/>
          <w:color w:val="000000"/>
          <w:sz w:val="30"/>
          <w:szCs w:val="30"/>
        </w:rPr>
        <w:br w:type="page"/>
      </w:r>
      <w:r>
        <w:rPr>
          <w:rFonts w:hint="eastAsia" w:ascii="宋体" w:hAnsi="宋体" w:eastAsia="宋体" w:cs="Times New Roman"/>
          <w:b/>
          <w:color w:val="000000"/>
          <w:sz w:val="30"/>
          <w:szCs w:val="30"/>
        </w:rPr>
        <w:t>二、总则</w:t>
      </w:r>
    </w:p>
    <w:p w14:paraId="515F7AF6">
      <w:pPr>
        <w:spacing w:before="156" w:beforeLines="50" w:after="156" w:afterLines="50" w:line="360" w:lineRule="auto"/>
        <w:ind w:left="601" w:hanging="601"/>
        <w:rPr>
          <w:rFonts w:hint="eastAsia" w:ascii="宋体" w:hAnsi="宋体" w:eastAsia="宋体" w:cs="Times New Roman"/>
          <w:b/>
          <w:color w:val="000000"/>
          <w:sz w:val="28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8"/>
          <w:szCs w:val="24"/>
        </w:rPr>
        <w:t>1、投标要求</w:t>
      </w:r>
    </w:p>
    <w:p w14:paraId="56FD1AB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1.1  投标人在准备投标书时，务必在所提供的商品的技术规格文件中，标明型号、商标名称、目录号。</w:t>
      </w:r>
    </w:p>
    <w:p w14:paraId="46F7A9AA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2634B2E7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1.3 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投标人提供的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产品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样本，必须是“原件”而非复印件，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清晰易读。买方有权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不付任何附加费用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复制这些资料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以供参考。</w:t>
      </w:r>
    </w:p>
    <w:p w14:paraId="4EC02115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color w:val="000000"/>
          <w:sz w:val="24"/>
          <w:szCs w:val="24"/>
        </w:rPr>
      </w:pP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3BC20250">
      <w:pPr>
        <w:spacing w:before="156" w:beforeLines="50" w:after="156" w:afterLines="50" w:line="360" w:lineRule="auto"/>
        <w:ind w:left="601" w:hanging="601"/>
        <w:rPr>
          <w:rFonts w:hint="eastAsia" w:ascii="宋体" w:hAnsi="宋体" w:eastAsia="宋体" w:cs="Times New Roman"/>
          <w:b/>
          <w:color w:val="000000"/>
          <w:sz w:val="28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8"/>
          <w:szCs w:val="24"/>
        </w:rPr>
        <w:t>2、评标标准</w:t>
      </w:r>
    </w:p>
    <w:p w14:paraId="1CDF8F2E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2.1 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除招标文件中指定的附件和专用工具外，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和消耗品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。投标人在投标书中需列出这些附件和工具的数量和单价的清单，这些附件和工具的报价的总值需计入投标价中。</w:t>
      </w:r>
    </w:p>
    <w:p w14:paraId="4784A290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2.2 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对于标书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技术规范中已列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465D59C2">
      <w:pPr>
        <w:spacing w:line="360" w:lineRule="auto"/>
        <w:ind w:left="554" w:hanging="554" w:hangingChars="231"/>
        <w:rPr>
          <w:rFonts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60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06495374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61332C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2.5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990BC02">
      <w:pPr>
        <w:spacing w:before="156" w:beforeLines="50" w:after="156" w:afterLines="50" w:line="360" w:lineRule="auto"/>
        <w:ind w:left="601" w:hanging="601"/>
        <w:rPr>
          <w:rFonts w:hint="eastAsia" w:ascii="宋体" w:hAnsi="宋体" w:eastAsia="宋体" w:cs="Times New Roman"/>
          <w:b/>
          <w:color w:val="000000"/>
          <w:sz w:val="28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8"/>
          <w:szCs w:val="24"/>
        </w:rPr>
        <w:t>3、工作条件</w:t>
      </w:r>
    </w:p>
    <w:p w14:paraId="70899B40">
      <w:pPr>
        <w:spacing w:after="312" w:afterLines="100" w:line="360" w:lineRule="auto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除非在技术规格中另有说明，所有仪器、设备和系统都应符合下列要求： </w:t>
      </w:r>
    </w:p>
    <w:p w14:paraId="6A15D01F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3.1  适于在气温为摄氏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-40℃～＋50℃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和相对湿度为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90％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的环境条件下运输和贮存。</w:t>
      </w:r>
    </w:p>
    <w:p w14:paraId="61DE286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3.2  适于在电源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220V（</w:t>
      </w:r>
      <w:r>
        <w:rPr>
          <w:rFonts w:ascii="宋体" w:hAnsi="宋体" w:eastAsia="宋体" w:cs="Times New Roman"/>
          <w:b/>
          <w:color w:val="000000"/>
          <w:sz w:val="24"/>
          <w:szCs w:val="24"/>
        </w:rPr>
        <w:sym w:font="Symbol" w:char="F0B1"/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10％）/50Hz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、气温摄氏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＋15℃～＋30℃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和相对湿度小于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80％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的环境条件下运行。</w:t>
      </w: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能够连续正常工作。</w:t>
      </w:r>
    </w:p>
    <w:p w14:paraId="22C1BE68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color w:val="000000"/>
          <w:sz w:val="24"/>
          <w:szCs w:val="24"/>
        </w:rPr>
        <w:t>提供适当的转</w:t>
      </w:r>
      <w:r>
        <w:rPr>
          <w:rFonts w:hint="eastAsia" w:ascii="宋体" w:hAnsi="宋体" w:eastAsia="宋体" w:cs="Times New Roman"/>
          <w:color w:val="000000"/>
          <w:sz w:val="24"/>
          <w:szCs w:val="24"/>
        </w:rPr>
        <w:t>换插座。</w:t>
      </w:r>
    </w:p>
    <w:p w14:paraId="7DB26954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407FBBA5">
      <w:pPr>
        <w:rPr>
          <w:rFonts w:hint="eastAsia" w:ascii="Times New Roman" w:hAnsi="Times New Roman" w:eastAsia="黑体" w:cs="Times New Roman"/>
          <w:b/>
          <w:bCs/>
          <w:color w:val="000000"/>
          <w:kern w:val="44"/>
          <w:sz w:val="24"/>
          <w:szCs w:val="24"/>
        </w:rPr>
      </w:pPr>
    </w:p>
    <w:p w14:paraId="7F4E73CB">
      <w:pPr>
        <w:spacing w:before="156" w:beforeLines="50" w:after="156" w:afterLines="50" w:line="360" w:lineRule="auto"/>
        <w:ind w:left="601" w:hanging="601"/>
        <w:rPr>
          <w:rFonts w:ascii="宋体" w:hAnsi="宋体" w:eastAsia="宋体" w:cs="Times New Roman"/>
          <w:b/>
          <w:color w:val="000000"/>
          <w:sz w:val="28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8"/>
          <w:szCs w:val="24"/>
        </w:rPr>
        <w:t>4、验收标准</w:t>
      </w:r>
    </w:p>
    <w:p w14:paraId="7FBD1E31">
      <w:pPr>
        <w:spacing w:after="312" w:afterLines="100" w:line="360" w:lineRule="auto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除非在技术规格中另有说明，所有仪器、设备和系统按下列要求进行验收： </w:t>
      </w:r>
    </w:p>
    <w:p w14:paraId="153C29E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402120C5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 xml:space="preserve">4.2 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51F2FDD5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color w:val="000000"/>
          <w:sz w:val="24"/>
          <w:szCs w:val="24"/>
        </w:rPr>
        <w:t>4.3  验收由采购人、中标人及相关人员依国家有关标准、合同及有关附件要求进行，验收完毕由采购人及中标人在验收报告上签名。</w:t>
      </w:r>
    </w:p>
    <w:p w14:paraId="7200AD2B">
      <w:pPr>
        <w:spacing w:line="360" w:lineRule="auto"/>
        <w:ind w:left="410" w:hanging="410" w:hangingChars="170"/>
        <w:rPr>
          <w:rFonts w:hint="eastAsia" w:ascii="宋体" w:hAnsi="宋体" w:eastAsia="宋体" w:cs="Times New Roman"/>
          <w:b/>
          <w:color w:val="000000"/>
          <w:sz w:val="24"/>
          <w:szCs w:val="24"/>
        </w:rPr>
      </w:pPr>
    </w:p>
    <w:p w14:paraId="1F002DD4">
      <w:pPr>
        <w:spacing w:line="360" w:lineRule="auto"/>
        <w:ind w:left="410" w:hanging="410" w:hangingChars="170"/>
        <w:rPr>
          <w:rFonts w:hint="eastAsia" w:ascii="宋体" w:hAnsi="宋体" w:eastAsia="宋体" w:cs="Times New Roman"/>
          <w:b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5、本技术规格书中标注“*”号的为实质性要求，不满足其投标将被拒绝。</w:t>
      </w:r>
    </w:p>
    <w:p w14:paraId="64EAE45F">
      <w:pPr>
        <w:spacing w:line="360" w:lineRule="auto"/>
        <w:rPr>
          <w:rFonts w:hint="eastAsia" w:ascii="宋体" w:hAnsi="宋体" w:eastAsia="宋体" w:cs="Times New Roman"/>
          <w:b/>
          <w:color w:val="000000"/>
          <w:sz w:val="24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4"/>
          <w:szCs w:val="24"/>
        </w:rPr>
        <w:t>6、如在具体技术规格中有本总则不一致之处，以具体技术规格中的要求为准。</w:t>
      </w:r>
    </w:p>
    <w:p w14:paraId="2247FFDB">
      <w:pPr>
        <w:spacing w:after="156" w:afterLines="50"/>
        <w:ind w:left="601" w:hanging="601"/>
        <w:rPr>
          <w:rFonts w:hint="eastAsia" w:ascii="宋体" w:hAnsi="宋体" w:eastAsia="宋体" w:cs="Times New Roman"/>
          <w:b/>
          <w:color w:val="000000"/>
          <w:sz w:val="28"/>
          <w:szCs w:val="24"/>
        </w:rPr>
      </w:pPr>
      <w:r>
        <w:rPr>
          <w:rFonts w:hint="eastAsia" w:ascii="宋体" w:hAnsi="宋体" w:eastAsia="宋体" w:cs="Times New Roman"/>
          <w:b/>
          <w:color w:val="000000"/>
          <w:sz w:val="28"/>
          <w:szCs w:val="24"/>
        </w:rPr>
        <w:t>三、具体技术规格</w:t>
      </w:r>
    </w:p>
    <w:p w14:paraId="3F2F4B40">
      <w:pPr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466B629">
      <w:pPr>
        <w:jc w:val="center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第</w:t>
      </w: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包</w:t>
      </w: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激光共聚焦正置显微镜</w:t>
      </w:r>
    </w:p>
    <w:p w14:paraId="4367098D">
      <w:pPr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</w:p>
    <w:p w14:paraId="62E64B13">
      <w:pPr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</w:p>
    <w:p w14:paraId="37DB0479">
      <w:pPr>
        <w:numPr>
          <w:ilvl w:val="0"/>
          <w:numId w:val="1"/>
        </w:numPr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技术要求：</w:t>
      </w:r>
    </w:p>
    <w:p w14:paraId="6847775D">
      <w:pPr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</w:p>
    <w:p w14:paraId="18BB09B9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工作条件：</w:t>
      </w:r>
    </w:p>
    <w:p w14:paraId="5A70B700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见总则第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条。</w:t>
      </w:r>
    </w:p>
    <w:p w14:paraId="31296F11">
      <w:pPr>
        <w:spacing w:line="360" w:lineRule="auto"/>
        <w:ind w:left="435" w:firstLine="240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1D96A084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设备用途：</w:t>
      </w:r>
    </w:p>
    <w:p w14:paraId="3698AA6A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2.1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可做</w:t>
      </w:r>
      <w:r>
        <w:rPr>
          <w:rFonts w:hint="eastAsia" w:ascii="Times New Roman" w:hAnsi="Times New Roman" w:eastAsia="宋体" w:cs="Times New Roman"/>
          <w:color w:val="000000"/>
          <w:szCs w:val="24"/>
        </w:rPr>
        <w:t>薄膜类、纤维类、水凝胶类、</w:t>
      </w:r>
      <w:r>
        <w:rPr>
          <w:rFonts w:ascii="Times New Roman" w:hAnsi="Times New Roman" w:eastAsia="宋体" w:cs="Times New Roman"/>
          <w:color w:val="000000"/>
          <w:szCs w:val="24"/>
        </w:rPr>
        <w:t>MOFs</w:t>
      </w:r>
      <w:r>
        <w:rPr>
          <w:rFonts w:hint="eastAsia" w:ascii="Times New Roman" w:hAnsi="Times New Roman" w:eastAsia="宋体" w:cs="Times New Roman"/>
          <w:color w:val="000000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Cs w:val="24"/>
        </w:rPr>
        <w:t>COFs</w:t>
      </w:r>
      <w:r>
        <w:rPr>
          <w:rFonts w:hint="eastAsia" w:ascii="Times New Roman" w:hAnsi="Times New Roman" w:eastAsia="宋体" w:cs="Times New Roman"/>
          <w:color w:val="000000"/>
          <w:szCs w:val="24"/>
        </w:rPr>
        <w:t>等多种材料样品</w:t>
      </w:r>
    </w:p>
    <w:p w14:paraId="19CE82C5">
      <w:pPr>
        <w:tabs>
          <w:tab w:val="left" w:pos="360"/>
        </w:tabs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2.2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可实现</w:t>
      </w:r>
      <w:r>
        <w:rPr>
          <w:rFonts w:hint="eastAsia" w:ascii="Times New Roman" w:hAnsi="Times New Roman" w:eastAsia="宋体" w:cs="Times New Roman"/>
          <w:color w:val="000000"/>
          <w:szCs w:val="24"/>
        </w:rPr>
        <w:t>三维成像、长时程荧光追踪、单晶或单光子成像、反应过程的可视化动态成像、反应动力学</w:t>
      </w:r>
      <w:r>
        <w:rPr>
          <w:rFonts w:ascii="Times New Roman" w:hAnsi="Times New Roman" w:eastAsia="宋体" w:cs="Times New Roman"/>
          <w:color w:val="000000"/>
          <w:szCs w:val="24"/>
        </w:rPr>
        <w:t>/</w:t>
      </w:r>
      <w:r>
        <w:rPr>
          <w:rFonts w:hint="eastAsia" w:ascii="Times New Roman" w:hAnsi="Times New Roman" w:eastAsia="宋体" w:cs="Times New Roman"/>
          <w:color w:val="000000"/>
          <w:szCs w:val="24"/>
        </w:rPr>
        <w:t>热力学测试，可升级荧光寿命测定及荧光气氛的定量分析功能。</w:t>
      </w:r>
    </w:p>
    <w:p w14:paraId="227B8660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77DEDD4C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 </w:t>
      </w:r>
    </w:p>
    <w:p w14:paraId="3BDCB74D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技术规格：</w:t>
      </w:r>
    </w:p>
    <w:p w14:paraId="1D70E73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激光器系统：</w:t>
      </w:r>
    </w:p>
    <w:p w14:paraId="0F6294C1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*3.1.1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至少配备以下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根固体激光器，数量后期可升级</w:t>
      </w:r>
    </w:p>
    <w:p w14:paraId="53F161F1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3.1.1.1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固体激光器：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405nm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，最大功率≥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50mW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6E472C5F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3.1.1.2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固体激光器：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448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±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，最大功率≥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15mW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3B7E1F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3.1.1.3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固体激光器：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514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±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，最大功率≥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15mW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70984129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3.1.1.4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固体激光器：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639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±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，最大功率≥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15mW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1C08BBB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3.1.2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激光器由原厂整合并由原厂校正；独立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AOTF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控制；</w:t>
      </w:r>
    </w:p>
    <w:p w14:paraId="1616B5E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共聚焦扫描系统：</w:t>
      </w:r>
    </w:p>
    <w:p w14:paraId="004CFE8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#3.2.1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扫描分辨率：最大扫描分辨率≥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8000 x 8000</w:t>
      </w:r>
    </w:p>
    <w:p w14:paraId="24CDC0A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能够进行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X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Y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T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、λ（发射光谱扫描）、θ（旋转角度）、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I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（光强度）、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A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（区域）等多维组合扫描，可实现点扫描、线扫描、曲线扫描、区域扫描、光谱波长扫描等。</w:t>
      </w:r>
    </w:p>
    <w:p w14:paraId="0463F228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高效率棱镜分光系统或成熟反射光栅分光系统，连续检测荧光波长范围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410-830nm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，光谱分辨率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，发射光调节步进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094D883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可见光专用光学扫描部件，波长校正范围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410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～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830nm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7E6FEC89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3.2.5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扫描视场：在照明充分均匀时，中间图像平面视野对角线≥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22mm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26D25150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3.2.6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高分辨率扫描振镜：扫描速度≥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帧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/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秒（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512 x 512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分辨率）；双向扫描速度≥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5000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线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/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秒；扫描速度调节步进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1Hz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，不少于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100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档扫描速度调节；</w:t>
      </w:r>
    </w:p>
    <w:p w14:paraId="6D86222E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#3.2.7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扫描变倍：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0.8X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～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45X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，连续可调，必须有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倍以下的扫描变倍</w:t>
      </w:r>
    </w:p>
    <w:p w14:paraId="4DDA40C9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检测系统：</w:t>
      </w:r>
    </w:p>
    <w:p w14:paraId="48F44572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#3.3.1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荧光检测器类型及数量：至少配备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Hyd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或者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GaAsP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高灵敏光谱型荧光检测器≥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个</w:t>
      </w:r>
    </w:p>
    <w:p w14:paraId="5E190BDE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3.3.2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每个检测器在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500nm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处光子探测效率：≥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45%</w:t>
      </w:r>
    </w:p>
    <w:p w14:paraId="01E91B3E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#3.3.3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检测范围：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410nm-830nm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，可接收检测红外区光信号</w:t>
      </w:r>
    </w:p>
    <w:p w14:paraId="66C6D9F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3.3.4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明场检测器：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个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PMT</w:t>
      </w:r>
    </w:p>
    <w:p w14:paraId="75A4944C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激光共聚焦超高分辨率系统：</w:t>
      </w:r>
    </w:p>
    <w:p w14:paraId="45DA27F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#3.4.1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成像分辨率：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XY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方向≤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120nm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方向≤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200nm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，在高分辨率模式下支持在线大视野拼图；</w:t>
      </w:r>
    </w:p>
    <w:p w14:paraId="5D3BE80D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3.4.2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高分辨率成像速度可满足≥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10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幅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/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秒（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512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×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512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分辨率）；</w:t>
      </w:r>
    </w:p>
    <w:p w14:paraId="5E4212D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3.4.3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所有适合配置激光器激发的荧光样品均可进行高分辨率成像，无需选择特殊荧光抗体及试剂；</w:t>
      </w:r>
    </w:p>
    <w:p w14:paraId="27D98CF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3.4.4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采用高灵敏度阵列检测器，超强硬件性能实现超高分辨率的成像方式，结合软件实现实时出图。</w:t>
      </w:r>
    </w:p>
    <w:p w14:paraId="60017E7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光学显微镜系统</w:t>
      </w:r>
    </w:p>
    <w:p w14:paraId="345CEDC0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*3.5.1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研究级全自动正置显微镜：具备明场、荧光、观察功能。显微镜控制可通过彩色触摸屏、遥控器、机身按钮、共聚焦软件来控制；</w:t>
      </w:r>
    </w:p>
    <w:p w14:paraId="6C19AEC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显微镜透射光源：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LED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光源，色温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4500K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3052BB78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镜体电动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轴调焦，步进精度≤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。</w:t>
      </w:r>
    </w:p>
    <w:p w14:paraId="70EEC6D4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电动聚光镜，电动照明光轴，电动调节透射光和荧光的孔径光阑和视场光阑；</w:t>
      </w:r>
    </w:p>
    <w:p w14:paraId="134EA3DC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3.5.5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同一品牌长寿命荧光电源，光纤传输，光强度可调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4AF0F7AD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3.5.5.1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紫外激发单色滤块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: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激发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320-360nm;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阻挡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400nm;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发射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: LP425nm</w:t>
      </w:r>
    </w:p>
    <w:p w14:paraId="195A900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3.5.5.2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蓝色激发单色滤块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: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激发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450-409nm;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阻挡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505nm;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发射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: LP515nm</w:t>
      </w:r>
    </w:p>
    <w:p w14:paraId="425315E9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3.5.5.3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绿色激发单色滤块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: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激发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510-560nm;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阻挡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580nm;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发射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: LP590nm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087C512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3.5.6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电动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孔荧光滤色块转盘，自动荧光强度管理系统，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档荧光光强调节，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个可调视场光阑；</w:t>
      </w:r>
    </w:p>
    <w:p w14:paraId="24431AC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3.5.7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宽视野双目观察筒，倾角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º，瞳距调节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55-75mm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，视场数≥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25mm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3D66AEDD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3.5.8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宽视野平场目镜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倍，视场数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25mm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，屈光度可补偿调节；</w:t>
      </w:r>
    </w:p>
    <w:p w14:paraId="274F301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3.5.9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物镜：</w:t>
      </w:r>
    </w:p>
    <w:p w14:paraId="23F40FF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3.5.9.1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倍共聚焦专用干镜，数值孔径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N.A.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0.15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6514252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3.5.9.2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倍共聚焦专用干镜，数值孔径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N.A.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0.45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50E2477F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3.5.9.3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倍共聚焦专用干镜，数值孔径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N.A.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0.75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13DDB66B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3.5.9.4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倍共聚焦专用油镜，数值孔径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N.A.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1.3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；</w:t>
      </w:r>
    </w:p>
    <w:p w14:paraId="3BABF43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3.5.10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电动载物台，配备通用样品夹。</w:t>
      </w:r>
    </w:p>
    <w:p w14:paraId="4EC40D6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3.6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计算机工作站：</w:t>
      </w:r>
    </w:p>
    <w:p w14:paraId="5242660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CPU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2.3 GHz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，内存≥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64GB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，高性能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CUDA GPU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显卡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3072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个内核，显存≥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24GB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，液晶真彩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4K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高清显示屏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(1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个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)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寸，显示屏分辨率≥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4096 x 2160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，固态硬盘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768GB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256+512GB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），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Windows 10 Professional (64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位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)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操作系统。</w:t>
      </w:r>
    </w:p>
    <w:p w14:paraId="58511D4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软件系统：</w:t>
      </w:r>
    </w:p>
    <w:p w14:paraId="3ADD9EAA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控制硬件的功能：控制电动显微镜、选择激光波长、调节激光强度、拍摄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2-5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维图像、选择光谱拍摄范围、成像分辨率、实验条件实时记录、一键式恢复等；</w:t>
      </w:r>
    </w:p>
    <w:p w14:paraId="631CA01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可进行时间记录，可设置时间循环，具有自动聚焦功能，具有荧光亮度校正、补偿功能（在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轴方向上补偿荧光亮度的变化）</w:t>
      </w:r>
    </w:p>
    <w:p w14:paraId="5C37A039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三维重构软件：具有多种三维重构渲染方式，包括最大强度投影、透明、深度标识和阴影投影等方式，允许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xy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xz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yz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任意角度进行切面观察，可对重构图进行任意角度旋转、平移、放大和缩小，可对每个荧光通道的强度、灰阶、伽马值及透明度进行独立调节，可根据用户需要对不同荧光通道进行颜色分割显示，可将复杂的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3D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重构效果导出成电影文件；</w:t>
      </w:r>
    </w:p>
    <w:p w14:paraId="5D0A982D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光谱拆分软件：能对样品发射荧光进行从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400-800nm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光谱扫描，可实现在线光谱拆分和扫描后光谱拆分；</w:t>
      </w:r>
    </w:p>
    <w:p w14:paraId="7A7CDEA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3.7.5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多功能全标本导航，全标本拼图。能进行自定义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ROI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形状的拼图，能拼接出长条形或圆形的大图，节省不必需的区域成像，加快拼图速度。能指定不同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ROI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区域使用不同的物镜进行拼图。能一次性批量化扫描多个标本多个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ROI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拼图；</w:t>
      </w:r>
    </w:p>
    <w:p w14:paraId="23765A27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3.7.6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能进行全片无缝拼图扫描，带聚焦地形图功能，能适应标本高低不同的焦面进行多焦点自动对焦及拼图。用户能自定义多个不同的焦点。能结合电动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Z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轴进行三维拼图，拼接结果能根据需求进行大图三维重建、大图三维叠加；</w:t>
      </w:r>
    </w:p>
    <w:p w14:paraId="0E6D478A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3.7.7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具备快捷简便的成像设置导航系统，拖放式设置共聚焦成像，界面简单，一目了然，提高共聚焦的使用效率。</w:t>
      </w:r>
    </w:p>
    <w:p w14:paraId="115E238C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63865DFE">
      <w:pPr>
        <w:numPr>
          <w:ilvl w:val="0"/>
          <w:numId w:val="2"/>
        </w:num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产品配置要求</w:t>
      </w:r>
    </w:p>
    <w:p w14:paraId="34D0B297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激光器系统；</w:t>
      </w:r>
    </w:p>
    <w:p w14:paraId="4560121D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扫描检测系统；</w:t>
      </w:r>
    </w:p>
    <w:p w14:paraId="11A3B269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激光共聚焦超高分辨系统；</w:t>
      </w:r>
    </w:p>
    <w:p w14:paraId="500031B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全自动正置显微镜；</w:t>
      </w:r>
    </w:p>
    <w:p w14:paraId="328150C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4.5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计算机工作站；</w:t>
      </w:r>
    </w:p>
    <w:p w14:paraId="26053E82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4.6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软件系统；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323BD4F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4.7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原厂配备防震台</w:t>
      </w:r>
    </w:p>
    <w:p w14:paraId="3C67175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59F69914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 xml:space="preserve">5. </w:t>
      </w: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选购附件、备件及消耗品（请参考总则第</w:t>
      </w: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>2.2</w:t>
      </w: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条）</w:t>
      </w:r>
    </w:p>
    <w:p w14:paraId="645B6A82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5.1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查询项目</w:t>
      </w:r>
    </w:p>
    <w:p w14:paraId="2211D9B1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5.1.1 561nm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    </w:t>
      </w:r>
    </w:p>
    <w:p w14:paraId="21D91453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5.1.2 488nm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激光器</w:t>
      </w:r>
    </w:p>
    <w:p w14:paraId="1FED7066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5.1.3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荧光检测器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     </w:t>
      </w:r>
    </w:p>
    <w:p w14:paraId="72FDAE07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  </w:t>
      </w:r>
    </w:p>
    <w:p w14:paraId="090A2C7F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 xml:space="preserve">6.  </w:t>
      </w: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技术文件：</w:t>
      </w:r>
    </w:p>
    <w:p w14:paraId="6659B19E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6.1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请参考总则第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1.2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条。</w:t>
      </w:r>
    </w:p>
    <w:p w14:paraId="19FFDE0E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6.2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请参考总则第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2.3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条。</w:t>
      </w:r>
    </w:p>
    <w:p w14:paraId="07F688E5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17EE6973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（二）质保及售后服务：</w:t>
      </w:r>
    </w:p>
    <w:p w14:paraId="3050135B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1.1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设备安装调试：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设备送达用户指定地点后，中标人应在收到用户通知后2周内派遣合格的技术人员前往用户指定地点进行安装调试，并在15天内完成设备的安装、调试工作。</w:t>
      </w:r>
    </w:p>
    <w:p w14:paraId="0B0354D7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0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1.2 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技术培训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：仪器调试合格后，乙方派工程师至甲方的使用科室对相关人员进行免费技术培训，直到参加培训人员具备独立操作能力，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能按照SOP熟练操作产品，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并能排除使用中的一般性障碍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。</w:t>
      </w:r>
    </w:p>
    <w:p w14:paraId="19DA7A39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1.3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保修期：一年</w:t>
      </w:r>
    </w:p>
    <w:p w14:paraId="6D8FA66F">
      <w:pPr>
        <w:spacing w:line="420" w:lineRule="exact"/>
        <w:rPr>
          <w:rFonts w:ascii="宋体" w:hAnsi="宋体" w:eastAsia="宋体" w:cs="宋体"/>
          <w:bCs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1.4 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维修响应时间：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2小时响应，如遇故障专业维修工程师应于24小时内到场并解决问题；故障设备修复期限自报修之日起计算，不超过2个工作日，逾期按采购方要求由中标方提供备用机，同时质保期按照逾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期天数顺延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。</w:t>
      </w:r>
    </w:p>
    <w:p w14:paraId="3AF0E656">
      <w:pPr>
        <w:spacing w:line="360" w:lineRule="auto"/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1.5 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软件版本终身免费升级。本合同签订后及货物使用中，如涉及增加系统软件、功能性软件或安全性软件升级问题，无论甲方是否知晓或是否向乙方提出，乙方均应当在其刚开始应用该软件时的第一时间内，立即主动地、无条件地给予免费更新并调试完好。</w:t>
      </w:r>
    </w:p>
    <w:p w14:paraId="46C14E61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</w:p>
    <w:p w14:paraId="00E8B09D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（三）</w:t>
      </w:r>
      <w:r>
        <w:rPr>
          <w:rFonts w:ascii="Times New Roman" w:hAnsi="Times New Roman" w:eastAsia="宋体" w:cs="Times New Roman"/>
          <w:b/>
          <w:color w:val="000000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订货数量：</w:t>
      </w:r>
    </w:p>
    <w:p w14:paraId="79CC348C">
      <w:pPr>
        <w:spacing w:line="360" w:lineRule="auto"/>
        <w:ind w:firstLine="42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激光共聚焦正置显微镜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套</w:t>
      </w:r>
    </w:p>
    <w:p w14:paraId="2A08E3EF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321D1D9E">
      <w:pPr>
        <w:numPr>
          <w:ilvl w:val="0"/>
          <w:numId w:val="3"/>
        </w:num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交货地点：</w:t>
      </w:r>
    </w:p>
    <w:p w14:paraId="22060F6A">
      <w:pPr>
        <w:spacing w:line="360" w:lineRule="auto"/>
        <w:ind w:firstLine="42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中国科学院新疆理化技术研究所</w:t>
      </w:r>
    </w:p>
    <w:p w14:paraId="5D8A2741">
      <w:pPr>
        <w:spacing w:line="360" w:lineRule="auto"/>
        <w:rPr>
          <w:rFonts w:ascii="Times New Roman" w:hAnsi="Times New Roman" w:eastAsia="宋体" w:cs="Times New Roman"/>
          <w:color w:val="000000"/>
          <w:sz w:val="24"/>
          <w:szCs w:val="24"/>
        </w:rPr>
      </w:pPr>
    </w:p>
    <w:p w14:paraId="1810C8F9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（五）交货日期：</w:t>
      </w:r>
    </w:p>
    <w:p w14:paraId="56FAC28F">
      <w:pPr>
        <w:spacing w:line="360" w:lineRule="auto"/>
        <w:ind w:firstLine="420"/>
        <w:rPr>
          <w:rFonts w:ascii="宋体" w:hAnsi="宋体" w:eastAsia="宋体" w:cs="Times New Roman"/>
          <w:b/>
          <w:color w:val="000000"/>
          <w:sz w:val="30"/>
          <w:szCs w:val="30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AU"/>
        </w:rPr>
        <w:t>合同签订后</w:t>
      </w:r>
      <w:r>
        <w:rPr>
          <w:rFonts w:ascii="Times New Roman" w:hAnsi="Times New Roman" w:eastAsia="宋体" w:cs="Times New Roman"/>
          <w:color w:val="000000"/>
          <w:sz w:val="24"/>
          <w:szCs w:val="24"/>
          <w:lang w:val="en-AU"/>
        </w:rPr>
        <w:t>90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AU"/>
        </w:rPr>
        <w:t>天</w:t>
      </w:r>
    </w:p>
    <w:p w14:paraId="6D06DA70">
      <w:pPr>
        <w:spacing w:line="360" w:lineRule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 </w:t>
      </w:r>
    </w:p>
    <w:p w14:paraId="3AF6E982">
      <w:pPr>
        <w:spacing w:line="360" w:lineRule="auto"/>
        <w:rPr>
          <w:rFonts w:ascii="Times New Roman" w:hAnsi="Times New Roman" w:eastAsia="宋体" w:cs="Times New Roman"/>
          <w:b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24"/>
          <w:szCs w:val="24"/>
        </w:rPr>
        <w:t>（六）执行的相关标准</w:t>
      </w:r>
    </w:p>
    <w:p w14:paraId="2D68EC94">
      <w:pPr>
        <w:spacing w:line="360" w:lineRule="auto"/>
        <w:rPr>
          <w:rFonts w:ascii="inherit" w:hAnsi="inherit" w:eastAsia="宋体" w:cs="宋体"/>
          <w:color w:val="000000"/>
          <w:kern w:val="0"/>
          <w:sz w:val="24"/>
          <w:szCs w:val="24"/>
        </w:rPr>
      </w:pPr>
      <w:r>
        <w:rPr>
          <w:rFonts w:ascii="inherit" w:hAnsi="inherit" w:eastAsia="宋体" w:cs="宋体"/>
          <w:color w:val="000000"/>
          <w:kern w:val="0"/>
          <w:sz w:val="24"/>
          <w:szCs w:val="24"/>
        </w:rPr>
        <w:tab/>
      </w:r>
      <w:r>
        <w:rPr>
          <w:rFonts w:hint="eastAsia" w:ascii="inherit" w:hAnsi="inherit" w:eastAsia="宋体" w:cs="宋体"/>
          <w:color w:val="000000"/>
          <w:kern w:val="0"/>
          <w:sz w:val="24"/>
          <w:szCs w:val="24"/>
        </w:rPr>
        <w:t>例如：产品应满足相关国家标准及行业标准。或具体列举出执行的国家相关标准、行业标准、地方标准或者其他标准、规范</w:t>
      </w:r>
    </w:p>
    <w:p w14:paraId="2D48C721">
      <w:pPr>
        <w:widowControl/>
        <w:spacing w:line="360" w:lineRule="atLeast"/>
        <w:rPr>
          <w:rFonts w:ascii="宋体" w:hAnsi="宋体" w:eastAsia="宋体" w:cs="Times New Roman"/>
          <w:b/>
          <w:color w:val="000000"/>
          <w:sz w:val="30"/>
          <w:szCs w:val="30"/>
        </w:rPr>
      </w:pPr>
    </w:p>
    <w:p w14:paraId="3C8E5C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inherit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3EBE6B"/>
    <w:multiLevelType w:val="singleLevel"/>
    <w:tmpl w:val="CD3EBE6B"/>
    <w:lvl w:ilvl="0" w:tentative="0">
      <w:start w:val="4"/>
      <w:numFmt w:val="chineseCounting"/>
      <w:suff w:val="space"/>
      <w:lvlText w:val="（%1）"/>
      <w:lvlJc w:val="left"/>
      <w:pPr>
        <w:ind w:left="0" w:firstLine="0"/>
      </w:p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</w:lvl>
  </w:abstractNum>
  <w:abstractNum w:abstractNumId="2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4C"/>
    <w:rsid w:val="002D41B0"/>
    <w:rsid w:val="00704B4C"/>
    <w:rsid w:val="00986DE1"/>
    <w:rsid w:val="2BB3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4052</Words>
  <Characters>4704</Characters>
  <Lines>35</Lines>
  <Paragraphs>10</Paragraphs>
  <TotalTime>0</TotalTime>
  <ScaleCrop>false</ScaleCrop>
  <LinksUpToDate>false</LinksUpToDate>
  <CharactersWithSpaces>4867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2024-08-07T11:13:00Z</dcterms:created>
  <dc:creator>lenovo</dc:creator>
  <cp:lastModifiedBy>清</cp:lastModifiedBy>
  <dcterms:modified xsi:type="dcterms:W3CDTF">2024-08-08T00:59:25Z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494B9AD932F74F6DAC0A2F4E38D0B6C6_13</vt:lpwstr>
  </property>
</Properties>
</file>